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D1C" w:rsidRDefault="00424944" w:rsidP="00DF5D1C">
      <w:pPr>
        <w:pStyle w:val="NormalWeb"/>
        <w:spacing w:before="0" w:beforeAutospacing="0" w:after="0" w:afterAutospacing="0" w:line="360" w:lineRule="auto"/>
        <w:jc w:val="center"/>
        <w:rPr>
          <w:rFonts w:ascii="Calibri" w:hAnsi="Calibri"/>
          <w:b/>
          <w:sz w:val="28"/>
          <w:szCs w:val="28"/>
        </w:rPr>
      </w:pPr>
      <w:r w:rsidRPr="00F5627B">
        <w:rPr>
          <w:rFonts w:ascii="Calibri" w:hAnsi="Calibri"/>
          <w:b/>
          <w:sz w:val="28"/>
          <w:szCs w:val="28"/>
        </w:rPr>
        <w:t>P</w:t>
      </w:r>
      <w:r w:rsidR="00D162C2" w:rsidRPr="00F5627B">
        <w:rPr>
          <w:rFonts w:ascii="Calibri" w:hAnsi="Calibri"/>
          <w:b/>
          <w:sz w:val="28"/>
          <w:szCs w:val="28"/>
        </w:rPr>
        <w:t>ART B:</w:t>
      </w:r>
    </w:p>
    <w:p w:rsidR="00D162C2" w:rsidRDefault="00393B32" w:rsidP="00DF5D1C">
      <w:pPr>
        <w:pStyle w:val="NormalWeb"/>
        <w:spacing w:before="0" w:beforeAutospacing="0" w:after="0" w:afterAutospacing="0" w:line="360" w:lineRule="auto"/>
        <w:jc w:val="center"/>
        <w:rPr>
          <w:rFonts w:ascii="Calibri" w:hAnsi="Calibri"/>
          <w:b/>
          <w:sz w:val="28"/>
          <w:szCs w:val="28"/>
        </w:rPr>
      </w:pPr>
      <w:r>
        <w:rPr>
          <w:rFonts w:ascii="Calibri" w:hAnsi="Calibri"/>
          <w:b/>
          <w:sz w:val="28"/>
          <w:szCs w:val="28"/>
        </w:rPr>
        <w:t xml:space="preserve">MAKING APPLICATION </w:t>
      </w:r>
      <w:r w:rsidR="00D77216">
        <w:rPr>
          <w:rFonts w:ascii="Calibri" w:hAnsi="Calibri"/>
          <w:b/>
          <w:sz w:val="28"/>
          <w:szCs w:val="28"/>
        </w:rPr>
        <w:t>FOR ADMISSION TO THE COURT</w:t>
      </w:r>
      <w:r w:rsidR="00D162C2" w:rsidRPr="00F5627B">
        <w:rPr>
          <w:rFonts w:ascii="Calibri" w:hAnsi="Calibri"/>
          <w:b/>
          <w:sz w:val="28"/>
          <w:szCs w:val="28"/>
        </w:rPr>
        <w:t xml:space="preserve"> </w:t>
      </w:r>
      <w:r>
        <w:rPr>
          <w:rFonts w:ascii="Calibri" w:hAnsi="Calibri"/>
          <w:b/>
          <w:sz w:val="28"/>
          <w:szCs w:val="28"/>
        </w:rPr>
        <w:t>(</w:t>
      </w:r>
      <w:r w:rsidR="00316083">
        <w:rPr>
          <w:rFonts w:ascii="Calibri" w:hAnsi="Calibri"/>
          <w:b/>
          <w:sz w:val="28"/>
          <w:szCs w:val="28"/>
        </w:rPr>
        <w:t>for</w:t>
      </w:r>
      <w:r w:rsidR="00DB325B">
        <w:rPr>
          <w:rFonts w:ascii="Calibri" w:hAnsi="Calibri"/>
          <w:b/>
          <w:sz w:val="28"/>
          <w:szCs w:val="28"/>
        </w:rPr>
        <w:t xml:space="preserve"> </w:t>
      </w:r>
      <w:r>
        <w:rPr>
          <w:rFonts w:ascii="Calibri" w:hAnsi="Calibri"/>
          <w:b/>
          <w:sz w:val="28"/>
          <w:szCs w:val="28"/>
        </w:rPr>
        <w:t>LOCAL APPLICANTS</w:t>
      </w:r>
      <w:r w:rsidR="00F43C9C">
        <w:rPr>
          <w:rFonts w:ascii="Calibri" w:hAnsi="Calibri"/>
          <w:b/>
          <w:sz w:val="28"/>
          <w:szCs w:val="28"/>
        </w:rPr>
        <w:t xml:space="preserve"> applying</w:t>
      </w:r>
      <w:r w:rsidR="00685B14">
        <w:rPr>
          <w:rFonts w:ascii="Calibri" w:hAnsi="Calibri"/>
          <w:b/>
          <w:sz w:val="28"/>
          <w:szCs w:val="28"/>
        </w:rPr>
        <w:t xml:space="preserve"> for admission to the legal profession in </w:t>
      </w:r>
      <w:smartTag w:uri="urn:schemas-microsoft-com:office:smarttags" w:element="State">
        <w:smartTag w:uri="urn:schemas-microsoft-com:office:smarttags" w:element="place">
          <w:r w:rsidR="00685B14">
            <w:rPr>
              <w:rFonts w:ascii="Calibri" w:hAnsi="Calibri"/>
              <w:b/>
              <w:sz w:val="28"/>
              <w:szCs w:val="28"/>
            </w:rPr>
            <w:t>Tasmania</w:t>
          </w:r>
        </w:smartTag>
      </w:smartTag>
      <w:r>
        <w:rPr>
          <w:rFonts w:ascii="Calibri" w:hAnsi="Calibri"/>
          <w:b/>
          <w:sz w:val="28"/>
          <w:szCs w:val="28"/>
        </w:rPr>
        <w:t>)</w:t>
      </w:r>
    </w:p>
    <w:p w:rsidR="003B4FDA" w:rsidRDefault="003B4FDA" w:rsidP="003B4FDA">
      <w:pPr>
        <w:spacing w:line="360" w:lineRule="auto"/>
        <w:rPr>
          <w:rFonts w:ascii="Calibri" w:hAnsi="Calibri"/>
          <w:i/>
          <w:color w:val="000000"/>
          <w:sz w:val="22"/>
          <w:szCs w:val="22"/>
        </w:rPr>
      </w:pPr>
    </w:p>
    <w:p w:rsidR="003B4FDA" w:rsidRPr="00412A49" w:rsidRDefault="0086060B" w:rsidP="003B4FDA">
      <w:pPr>
        <w:spacing w:line="360" w:lineRule="auto"/>
        <w:rPr>
          <w:rFonts w:ascii="Calibri" w:hAnsi="Calibri"/>
          <w:i/>
          <w:color w:val="000000"/>
          <w:sz w:val="24"/>
          <w:szCs w:val="24"/>
        </w:rPr>
      </w:pPr>
      <w:r>
        <w:rPr>
          <w:rFonts w:ascii="Calibri" w:hAnsi="Calibri"/>
          <w:i/>
          <w:color w:val="000000"/>
          <w:sz w:val="22"/>
          <w:szCs w:val="22"/>
        </w:rPr>
        <w:t>This is</w:t>
      </w:r>
      <w:r w:rsidR="00DF5D1C">
        <w:rPr>
          <w:rFonts w:ascii="Calibri" w:hAnsi="Calibri"/>
          <w:i/>
          <w:color w:val="000000"/>
          <w:sz w:val="22"/>
          <w:szCs w:val="22"/>
        </w:rPr>
        <w:t xml:space="preserve"> for the benefit of local applicants.  It provides information, following on from the general information in Part A, about making an application for admission to the legal profession to the Court</w:t>
      </w:r>
      <w:r w:rsidR="003B4FDA">
        <w:rPr>
          <w:rFonts w:ascii="Calibri" w:hAnsi="Calibri"/>
          <w:i/>
          <w:color w:val="000000"/>
          <w:sz w:val="22"/>
          <w:szCs w:val="22"/>
        </w:rPr>
        <w:t xml:space="preserve">.  </w:t>
      </w:r>
    </w:p>
    <w:p w:rsidR="00D162C2" w:rsidRDefault="00D162C2" w:rsidP="0073589B">
      <w:pPr>
        <w:spacing w:line="360" w:lineRule="auto"/>
        <w:rPr>
          <w:rFonts w:ascii="Calibri" w:hAnsi="Calibri"/>
          <w:b/>
          <w:color w:val="000000"/>
          <w:sz w:val="28"/>
          <w:szCs w:val="28"/>
        </w:rPr>
      </w:pPr>
    </w:p>
    <w:p w:rsidR="0073589B" w:rsidRPr="00422143" w:rsidRDefault="00FE272C" w:rsidP="0073589B">
      <w:pPr>
        <w:spacing w:line="360" w:lineRule="auto"/>
        <w:rPr>
          <w:rFonts w:ascii="Calibri" w:hAnsi="Calibri"/>
          <w:b/>
          <w:color w:val="000000"/>
          <w:sz w:val="28"/>
          <w:szCs w:val="28"/>
        </w:rPr>
      </w:pPr>
      <w:r w:rsidRPr="00422143">
        <w:rPr>
          <w:rFonts w:ascii="Calibri" w:hAnsi="Calibri"/>
          <w:b/>
          <w:color w:val="000000"/>
          <w:sz w:val="28"/>
          <w:szCs w:val="28"/>
        </w:rPr>
        <w:t>Applying</w:t>
      </w:r>
      <w:r w:rsidR="0073589B" w:rsidRPr="00422143">
        <w:rPr>
          <w:rFonts w:ascii="Calibri" w:hAnsi="Calibri"/>
          <w:b/>
          <w:color w:val="000000"/>
          <w:sz w:val="28"/>
          <w:szCs w:val="28"/>
        </w:rPr>
        <w:t xml:space="preserve"> to the Court for admission to the legal profession</w:t>
      </w:r>
    </w:p>
    <w:p w:rsidR="0021390D" w:rsidRDefault="0086060B" w:rsidP="0086060B">
      <w:pPr>
        <w:spacing w:line="360" w:lineRule="auto"/>
        <w:rPr>
          <w:rFonts w:ascii="Calibri" w:hAnsi="Calibri"/>
          <w:color w:val="000000"/>
          <w:sz w:val="22"/>
          <w:szCs w:val="22"/>
        </w:rPr>
      </w:pPr>
      <w:r w:rsidRPr="00412A49">
        <w:rPr>
          <w:rFonts w:ascii="Calibri" w:hAnsi="Calibri"/>
          <w:color w:val="000000"/>
          <w:sz w:val="22"/>
          <w:szCs w:val="22"/>
        </w:rPr>
        <w:t xml:space="preserve">The steps </w:t>
      </w:r>
      <w:r>
        <w:rPr>
          <w:rFonts w:ascii="Calibri" w:hAnsi="Calibri"/>
          <w:color w:val="000000"/>
          <w:sz w:val="22"/>
          <w:szCs w:val="22"/>
        </w:rPr>
        <w:t>to</w:t>
      </w:r>
      <w:r w:rsidR="008A298D" w:rsidRPr="00412A49">
        <w:rPr>
          <w:rFonts w:ascii="Calibri" w:hAnsi="Calibri"/>
          <w:color w:val="000000"/>
          <w:sz w:val="22"/>
          <w:szCs w:val="22"/>
        </w:rPr>
        <w:t xml:space="preserve"> make an application to the Court for admi</w:t>
      </w:r>
      <w:r w:rsidR="00A97E37" w:rsidRPr="00412A49">
        <w:rPr>
          <w:rFonts w:ascii="Calibri" w:hAnsi="Calibri"/>
          <w:color w:val="000000"/>
          <w:sz w:val="22"/>
          <w:szCs w:val="22"/>
        </w:rPr>
        <w:t>ssion to the legal profession</w:t>
      </w:r>
      <w:r w:rsidR="000319E9">
        <w:rPr>
          <w:rFonts w:ascii="Calibri" w:hAnsi="Calibri"/>
          <w:color w:val="000000"/>
          <w:sz w:val="22"/>
          <w:szCs w:val="22"/>
        </w:rPr>
        <w:t xml:space="preserve"> are:</w:t>
      </w:r>
      <w:r w:rsidR="00A97E37" w:rsidRPr="00412A49">
        <w:rPr>
          <w:rFonts w:ascii="Calibri" w:hAnsi="Calibri"/>
          <w:color w:val="000000"/>
          <w:sz w:val="22"/>
          <w:szCs w:val="22"/>
        </w:rPr>
        <w:t xml:space="preserve"> </w:t>
      </w:r>
    </w:p>
    <w:p w:rsidR="0047553E" w:rsidRPr="00412A49" w:rsidRDefault="0047553E" w:rsidP="002C73A7">
      <w:pPr>
        <w:spacing w:line="360" w:lineRule="auto"/>
        <w:ind w:firstLine="540"/>
        <w:rPr>
          <w:rFonts w:ascii="Calibri" w:hAnsi="Calibri"/>
          <w:color w:val="000000"/>
          <w:sz w:val="22"/>
          <w:szCs w:val="22"/>
        </w:rPr>
      </w:pPr>
    </w:p>
    <w:p w:rsidR="00697044" w:rsidRPr="00412A49" w:rsidRDefault="00B957F2" w:rsidP="009B4CEB">
      <w:pPr>
        <w:numPr>
          <w:ilvl w:val="0"/>
          <w:numId w:val="5"/>
        </w:numPr>
        <w:overflowPunct/>
        <w:autoSpaceDE/>
        <w:autoSpaceDN/>
        <w:adjustRightInd/>
        <w:spacing w:line="360" w:lineRule="auto"/>
        <w:textAlignment w:val="auto"/>
        <w:rPr>
          <w:rFonts w:ascii="Calibri" w:hAnsi="Calibri"/>
          <w:color w:val="000000"/>
          <w:sz w:val="22"/>
          <w:szCs w:val="22"/>
        </w:rPr>
      </w:pPr>
      <w:r w:rsidRPr="0067715C">
        <w:rPr>
          <w:rFonts w:ascii="Calibri" w:hAnsi="Calibri"/>
          <w:b/>
          <w:i/>
          <w:color w:val="000000"/>
          <w:sz w:val="24"/>
          <w:szCs w:val="24"/>
        </w:rPr>
        <w:t>Preliminary preparations</w:t>
      </w:r>
      <w:r w:rsidRPr="00412A49">
        <w:rPr>
          <w:rFonts w:ascii="Calibri" w:hAnsi="Calibri"/>
          <w:color w:val="000000"/>
          <w:sz w:val="22"/>
          <w:szCs w:val="22"/>
        </w:rPr>
        <w:t>:</w:t>
      </w:r>
      <w:r w:rsidR="009B4CEB">
        <w:rPr>
          <w:rFonts w:ascii="Calibri" w:hAnsi="Calibri"/>
          <w:color w:val="000000"/>
          <w:sz w:val="22"/>
          <w:szCs w:val="22"/>
        </w:rPr>
        <w:t xml:space="preserve"> </w:t>
      </w:r>
      <w:r w:rsidRPr="00412A49">
        <w:rPr>
          <w:rFonts w:ascii="Calibri" w:hAnsi="Calibri"/>
          <w:color w:val="000000"/>
          <w:sz w:val="22"/>
          <w:szCs w:val="22"/>
        </w:rPr>
        <w:t xml:space="preserve"> </w:t>
      </w:r>
      <w:r w:rsidR="00697044" w:rsidRPr="00412A49">
        <w:rPr>
          <w:rFonts w:ascii="Calibri" w:hAnsi="Calibri"/>
          <w:color w:val="000000"/>
          <w:sz w:val="22"/>
          <w:szCs w:val="22"/>
        </w:rPr>
        <w:t>Prior to lodging an application for admission with the Court prospective applicant</w:t>
      </w:r>
      <w:r w:rsidR="00890B63" w:rsidRPr="00412A49">
        <w:rPr>
          <w:rFonts w:ascii="Calibri" w:hAnsi="Calibri"/>
          <w:color w:val="000000"/>
          <w:sz w:val="22"/>
          <w:szCs w:val="22"/>
        </w:rPr>
        <w:t>s</w:t>
      </w:r>
      <w:r w:rsidR="00697044" w:rsidRPr="00412A49">
        <w:rPr>
          <w:rFonts w:ascii="Calibri" w:hAnsi="Calibri"/>
          <w:color w:val="000000"/>
          <w:sz w:val="22"/>
          <w:szCs w:val="22"/>
        </w:rPr>
        <w:t xml:space="preserve"> should </w:t>
      </w:r>
      <w:proofErr w:type="spellStart"/>
      <w:r w:rsidR="00A11507" w:rsidRPr="00412A49">
        <w:rPr>
          <w:rFonts w:ascii="Calibri" w:hAnsi="Calibri"/>
          <w:color w:val="000000"/>
          <w:sz w:val="22"/>
          <w:szCs w:val="22"/>
        </w:rPr>
        <w:t>familiari</w:t>
      </w:r>
      <w:r w:rsidR="00DB5505" w:rsidRPr="00412A49">
        <w:rPr>
          <w:rFonts w:ascii="Calibri" w:hAnsi="Calibri"/>
          <w:color w:val="000000"/>
          <w:sz w:val="22"/>
          <w:szCs w:val="22"/>
        </w:rPr>
        <w:t>s</w:t>
      </w:r>
      <w:r w:rsidR="00A11507" w:rsidRPr="00412A49">
        <w:rPr>
          <w:rFonts w:ascii="Calibri" w:hAnsi="Calibri"/>
          <w:color w:val="000000"/>
          <w:sz w:val="22"/>
          <w:szCs w:val="22"/>
        </w:rPr>
        <w:t>e</w:t>
      </w:r>
      <w:proofErr w:type="spellEnd"/>
      <w:r w:rsidR="00A11507" w:rsidRPr="00412A49">
        <w:rPr>
          <w:rFonts w:ascii="Calibri" w:hAnsi="Calibri"/>
          <w:color w:val="000000"/>
          <w:sz w:val="22"/>
          <w:szCs w:val="22"/>
        </w:rPr>
        <w:t xml:space="preserve"> themselves with the requirements </w:t>
      </w:r>
      <w:r w:rsidR="0086060B" w:rsidRPr="00412A49">
        <w:rPr>
          <w:rFonts w:ascii="Calibri" w:hAnsi="Calibri"/>
          <w:color w:val="000000"/>
          <w:sz w:val="22"/>
          <w:szCs w:val="22"/>
        </w:rPr>
        <w:t>of applications</w:t>
      </w:r>
      <w:r w:rsidR="00A11507" w:rsidRPr="00412A49">
        <w:rPr>
          <w:rFonts w:ascii="Calibri" w:hAnsi="Calibri"/>
          <w:color w:val="000000"/>
          <w:sz w:val="22"/>
          <w:szCs w:val="22"/>
        </w:rPr>
        <w:t xml:space="preserve"> and </w:t>
      </w:r>
      <w:r w:rsidR="000319E9">
        <w:rPr>
          <w:rFonts w:ascii="Calibri" w:hAnsi="Calibri"/>
          <w:color w:val="000000"/>
          <w:sz w:val="22"/>
          <w:szCs w:val="22"/>
        </w:rPr>
        <w:t>take steps</w:t>
      </w:r>
      <w:r w:rsidR="00697044" w:rsidRPr="00412A49">
        <w:rPr>
          <w:rFonts w:ascii="Calibri" w:hAnsi="Calibri"/>
          <w:color w:val="000000"/>
          <w:sz w:val="22"/>
          <w:szCs w:val="22"/>
        </w:rPr>
        <w:t xml:space="preserve"> to ensure that the application will be ready to go ahead when the time comes.  These </w:t>
      </w:r>
      <w:r w:rsidR="0086060B">
        <w:rPr>
          <w:rFonts w:ascii="Calibri" w:hAnsi="Calibri"/>
          <w:color w:val="000000"/>
          <w:sz w:val="22"/>
          <w:szCs w:val="22"/>
        </w:rPr>
        <w:t>steps include</w:t>
      </w:r>
      <w:r w:rsidR="00697044" w:rsidRPr="00412A49">
        <w:rPr>
          <w:rFonts w:ascii="Calibri" w:hAnsi="Calibri"/>
          <w:color w:val="000000"/>
          <w:sz w:val="22"/>
          <w:szCs w:val="22"/>
        </w:rPr>
        <w:t>:</w:t>
      </w:r>
    </w:p>
    <w:p w:rsidR="000203E5" w:rsidRDefault="00697044" w:rsidP="00AA6D47">
      <w:pPr>
        <w:numPr>
          <w:ilvl w:val="0"/>
          <w:numId w:val="20"/>
        </w:numPr>
        <w:spacing w:line="360" w:lineRule="auto"/>
        <w:jc w:val="center"/>
        <w:rPr>
          <w:rFonts w:ascii="Calibri" w:hAnsi="Calibri"/>
          <w:color w:val="000000"/>
          <w:sz w:val="22"/>
          <w:szCs w:val="22"/>
        </w:rPr>
      </w:pPr>
      <w:proofErr w:type="gramStart"/>
      <w:r w:rsidRPr="00412A49">
        <w:rPr>
          <w:rFonts w:ascii="Calibri" w:hAnsi="Calibri"/>
          <w:color w:val="000000"/>
          <w:sz w:val="22"/>
          <w:szCs w:val="22"/>
        </w:rPr>
        <w:t>applying</w:t>
      </w:r>
      <w:proofErr w:type="gramEnd"/>
      <w:r w:rsidRPr="00412A49">
        <w:rPr>
          <w:rFonts w:ascii="Calibri" w:hAnsi="Calibri"/>
          <w:color w:val="000000"/>
          <w:sz w:val="22"/>
          <w:szCs w:val="22"/>
        </w:rPr>
        <w:t xml:space="preserve"> to the Board</w:t>
      </w:r>
      <w:r w:rsidR="00AE180D">
        <w:rPr>
          <w:rFonts w:ascii="Calibri" w:hAnsi="Calibri"/>
          <w:color w:val="000000"/>
          <w:sz w:val="22"/>
          <w:szCs w:val="22"/>
        </w:rPr>
        <w:t xml:space="preserve"> of Legal Education</w:t>
      </w:r>
      <w:r w:rsidRPr="00412A49">
        <w:rPr>
          <w:rFonts w:ascii="Calibri" w:hAnsi="Calibri"/>
          <w:color w:val="000000"/>
          <w:sz w:val="22"/>
          <w:szCs w:val="22"/>
        </w:rPr>
        <w:t xml:space="preserve"> for a certificate of eligibility for admission to the </w:t>
      </w:r>
      <w:r w:rsidR="007F3900">
        <w:rPr>
          <w:rFonts w:ascii="Calibri" w:hAnsi="Calibri"/>
          <w:color w:val="000000"/>
          <w:sz w:val="22"/>
          <w:szCs w:val="22"/>
        </w:rPr>
        <w:t>legal profession</w:t>
      </w:r>
      <w:r w:rsidR="000203E5">
        <w:rPr>
          <w:rFonts w:ascii="Calibri" w:hAnsi="Calibri"/>
          <w:color w:val="000000"/>
          <w:sz w:val="22"/>
          <w:szCs w:val="22"/>
        </w:rPr>
        <w:t xml:space="preserve">.  </w:t>
      </w:r>
      <w:r w:rsidRPr="00412A49">
        <w:rPr>
          <w:rFonts w:ascii="Calibri" w:hAnsi="Calibri"/>
          <w:color w:val="000000"/>
          <w:sz w:val="22"/>
          <w:szCs w:val="22"/>
        </w:rPr>
        <w:t>The contact details for the Board are</w:t>
      </w:r>
      <w:r w:rsidR="00AE180D">
        <w:rPr>
          <w:rFonts w:ascii="Calibri" w:hAnsi="Calibri"/>
          <w:color w:val="000000"/>
          <w:sz w:val="22"/>
          <w:szCs w:val="22"/>
        </w:rPr>
        <w:t>:</w:t>
      </w:r>
    </w:p>
    <w:p w:rsidR="00AE180D" w:rsidRDefault="00AE180D" w:rsidP="000203E5">
      <w:pPr>
        <w:spacing w:line="360" w:lineRule="auto"/>
        <w:ind w:left="1080"/>
        <w:jc w:val="center"/>
        <w:rPr>
          <w:rFonts w:ascii="Calibri" w:hAnsi="Calibri"/>
          <w:color w:val="000000"/>
          <w:sz w:val="22"/>
          <w:szCs w:val="22"/>
        </w:rPr>
      </w:pPr>
      <w:r>
        <w:rPr>
          <w:rFonts w:ascii="Calibri" w:hAnsi="Calibri"/>
          <w:color w:val="000000"/>
          <w:sz w:val="22"/>
          <w:szCs w:val="22"/>
        </w:rPr>
        <w:t>The Secretary</w:t>
      </w:r>
    </w:p>
    <w:p w:rsidR="00AE180D" w:rsidRDefault="00AE180D" w:rsidP="00AA6D47">
      <w:pPr>
        <w:spacing w:line="360" w:lineRule="auto"/>
        <w:ind w:left="1080"/>
        <w:jc w:val="center"/>
        <w:rPr>
          <w:rFonts w:ascii="Calibri" w:hAnsi="Calibri"/>
          <w:color w:val="000000"/>
          <w:sz w:val="22"/>
          <w:szCs w:val="22"/>
        </w:rPr>
      </w:pPr>
      <w:r>
        <w:rPr>
          <w:rFonts w:ascii="Calibri" w:hAnsi="Calibri"/>
          <w:color w:val="000000"/>
          <w:sz w:val="22"/>
          <w:szCs w:val="22"/>
        </w:rPr>
        <w:t>Board of Legal Education</w:t>
      </w:r>
    </w:p>
    <w:p w:rsidR="00AE180D" w:rsidRDefault="00AE180D" w:rsidP="00AA6D47">
      <w:pPr>
        <w:spacing w:line="360" w:lineRule="auto"/>
        <w:ind w:left="1080"/>
        <w:jc w:val="center"/>
        <w:rPr>
          <w:rFonts w:ascii="Calibri" w:hAnsi="Calibri"/>
          <w:color w:val="000000"/>
          <w:sz w:val="22"/>
          <w:szCs w:val="22"/>
        </w:rPr>
      </w:pPr>
      <w:r>
        <w:rPr>
          <w:rFonts w:ascii="Calibri" w:hAnsi="Calibri"/>
          <w:color w:val="000000"/>
          <w:sz w:val="22"/>
          <w:szCs w:val="22"/>
        </w:rPr>
        <w:t>28 Murray Street</w:t>
      </w:r>
    </w:p>
    <w:p w:rsidR="00AE180D" w:rsidRDefault="00AE180D" w:rsidP="00AA6D47">
      <w:pPr>
        <w:spacing w:line="360" w:lineRule="auto"/>
        <w:ind w:left="1080"/>
        <w:jc w:val="center"/>
        <w:rPr>
          <w:rFonts w:ascii="Calibri" w:hAnsi="Calibri"/>
          <w:color w:val="000000"/>
          <w:sz w:val="22"/>
          <w:szCs w:val="22"/>
        </w:rPr>
      </w:pPr>
      <w:r>
        <w:rPr>
          <w:rFonts w:ascii="Calibri" w:hAnsi="Calibri"/>
          <w:color w:val="000000"/>
          <w:sz w:val="22"/>
          <w:szCs w:val="22"/>
        </w:rPr>
        <w:t>Hobart Tasmania 7000</w:t>
      </w:r>
    </w:p>
    <w:p w:rsidR="00697044" w:rsidRPr="00412A49" w:rsidRDefault="00697044" w:rsidP="00AA6D47">
      <w:pPr>
        <w:spacing w:line="360" w:lineRule="auto"/>
        <w:ind w:left="1080"/>
        <w:rPr>
          <w:rFonts w:ascii="Calibri" w:hAnsi="Calibri"/>
          <w:color w:val="000000"/>
          <w:sz w:val="22"/>
          <w:szCs w:val="22"/>
        </w:rPr>
      </w:pPr>
    </w:p>
    <w:p w:rsidR="00697044" w:rsidRPr="00412A49" w:rsidRDefault="00697044" w:rsidP="00697044">
      <w:pPr>
        <w:numPr>
          <w:ilvl w:val="0"/>
          <w:numId w:val="20"/>
        </w:numPr>
        <w:spacing w:line="360" w:lineRule="auto"/>
        <w:rPr>
          <w:rFonts w:ascii="Calibri" w:hAnsi="Calibri"/>
          <w:color w:val="000000"/>
          <w:sz w:val="22"/>
          <w:szCs w:val="22"/>
        </w:rPr>
      </w:pPr>
      <w:proofErr w:type="gramStart"/>
      <w:r w:rsidRPr="00412A49">
        <w:rPr>
          <w:rFonts w:ascii="Calibri" w:hAnsi="Calibri"/>
          <w:color w:val="000000"/>
          <w:sz w:val="22"/>
          <w:szCs w:val="22"/>
        </w:rPr>
        <w:t>applying</w:t>
      </w:r>
      <w:proofErr w:type="gramEnd"/>
      <w:r w:rsidRPr="00412A49">
        <w:rPr>
          <w:rFonts w:ascii="Calibri" w:hAnsi="Calibri"/>
          <w:color w:val="000000"/>
          <w:sz w:val="22"/>
          <w:szCs w:val="22"/>
        </w:rPr>
        <w:t xml:space="preserve"> for a report from the Commissioner of Police </w:t>
      </w:r>
      <w:r w:rsidR="00FF7078" w:rsidRPr="00412A49">
        <w:rPr>
          <w:rFonts w:ascii="Calibri" w:hAnsi="Calibri"/>
          <w:color w:val="000000"/>
          <w:sz w:val="22"/>
          <w:szCs w:val="22"/>
        </w:rPr>
        <w:t>setting out the prospective applicant’s</w:t>
      </w:r>
      <w:r w:rsidRPr="00412A49">
        <w:rPr>
          <w:rFonts w:ascii="Calibri" w:hAnsi="Calibri"/>
          <w:color w:val="000000"/>
          <w:sz w:val="22"/>
          <w:szCs w:val="22"/>
        </w:rPr>
        <w:t xml:space="preserve"> criminal record </w:t>
      </w:r>
      <w:r w:rsidR="00217822" w:rsidRPr="00412A49">
        <w:rPr>
          <w:rFonts w:ascii="Calibri" w:hAnsi="Calibri"/>
          <w:color w:val="000000"/>
          <w:sz w:val="22"/>
          <w:szCs w:val="22"/>
        </w:rPr>
        <w:t>(</w:t>
      </w:r>
      <w:r w:rsidR="007C03A8">
        <w:rPr>
          <w:rFonts w:ascii="Calibri" w:hAnsi="Calibri"/>
          <w:color w:val="000000"/>
          <w:sz w:val="22"/>
          <w:szCs w:val="22"/>
        </w:rPr>
        <w:t>the report must be a national police records check relating to criminal convictions in Australia, not just Tasmania</w:t>
      </w:r>
      <w:r w:rsidR="000319E9">
        <w:rPr>
          <w:rFonts w:ascii="Calibri" w:hAnsi="Calibri"/>
          <w:color w:val="000000"/>
          <w:sz w:val="22"/>
          <w:szCs w:val="22"/>
        </w:rPr>
        <w:t>. R</w:t>
      </w:r>
      <w:r w:rsidRPr="00412A49">
        <w:rPr>
          <w:rFonts w:ascii="Calibri" w:hAnsi="Calibri"/>
          <w:color w:val="000000"/>
          <w:sz w:val="22"/>
          <w:szCs w:val="22"/>
        </w:rPr>
        <w:t xml:space="preserve">eports take a number of weeks to be supplied </w:t>
      </w:r>
      <w:r w:rsidR="00217822" w:rsidRPr="00412A49">
        <w:rPr>
          <w:rFonts w:ascii="Calibri" w:hAnsi="Calibri"/>
          <w:color w:val="000000"/>
          <w:sz w:val="22"/>
          <w:szCs w:val="22"/>
        </w:rPr>
        <w:t>but</w:t>
      </w:r>
      <w:r w:rsidRPr="00412A49">
        <w:rPr>
          <w:rFonts w:ascii="Calibri" w:hAnsi="Calibri"/>
          <w:color w:val="000000"/>
          <w:sz w:val="22"/>
          <w:szCs w:val="22"/>
        </w:rPr>
        <w:t xml:space="preserve"> </w:t>
      </w:r>
      <w:r w:rsidR="00890B63" w:rsidRPr="00412A49">
        <w:rPr>
          <w:rFonts w:ascii="Calibri" w:hAnsi="Calibri"/>
          <w:color w:val="000000"/>
          <w:sz w:val="22"/>
          <w:szCs w:val="22"/>
        </w:rPr>
        <w:t xml:space="preserve">must not be prepared </w:t>
      </w:r>
      <w:r w:rsidRPr="00412A49">
        <w:rPr>
          <w:rFonts w:ascii="Calibri" w:hAnsi="Calibri"/>
          <w:color w:val="000000"/>
          <w:sz w:val="22"/>
          <w:szCs w:val="22"/>
        </w:rPr>
        <w:t xml:space="preserve">more than 6 months </w:t>
      </w:r>
      <w:r w:rsidR="0036721E" w:rsidRPr="00412A49">
        <w:rPr>
          <w:rFonts w:ascii="Calibri" w:hAnsi="Calibri"/>
          <w:color w:val="000000"/>
          <w:sz w:val="22"/>
          <w:szCs w:val="22"/>
        </w:rPr>
        <w:t xml:space="preserve">before </w:t>
      </w:r>
      <w:r w:rsidRPr="00412A49">
        <w:rPr>
          <w:rFonts w:ascii="Calibri" w:hAnsi="Calibri"/>
          <w:color w:val="000000"/>
          <w:sz w:val="22"/>
          <w:szCs w:val="22"/>
        </w:rPr>
        <w:t xml:space="preserve">the date </w:t>
      </w:r>
      <w:r w:rsidR="0036721E" w:rsidRPr="00412A49">
        <w:rPr>
          <w:rFonts w:ascii="Calibri" w:hAnsi="Calibri"/>
          <w:color w:val="000000"/>
          <w:sz w:val="22"/>
          <w:szCs w:val="22"/>
        </w:rPr>
        <w:t>of the swearing of</w:t>
      </w:r>
      <w:r w:rsidRPr="00412A49">
        <w:rPr>
          <w:rFonts w:ascii="Calibri" w:hAnsi="Calibri"/>
          <w:color w:val="000000"/>
          <w:sz w:val="22"/>
          <w:szCs w:val="22"/>
        </w:rPr>
        <w:t xml:space="preserve"> the </w:t>
      </w:r>
      <w:r w:rsidR="00FF7078" w:rsidRPr="00412A49">
        <w:rPr>
          <w:rFonts w:ascii="Calibri" w:hAnsi="Calibri"/>
          <w:color w:val="000000"/>
          <w:sz w:val="22"/>
          <w:szCs w:val="22"/>
        </w:rPr>
        <w:t>applicant’</w:t>
      </w:r>
      <w:r w:rsidR="00217822" w:rsidRPr="00412A49">
        <w:rPr>
          <w:rFonts w:ascii="Calibri" w:hAnsi="Calibri"/>
          <w:color w:val="000000"/>
          <w:sz w:val="22"/>
          <w:szCs w:val="22"/>
        </w:rPr>
        <w:t xml:space="preserve">s affidavit - </w:t>
      </w:r>
      <w:r w:rsidR="00AF54C7" w:rsidRPr="00412A49">
        <w:rPr>
          <w:rFonts w:ascii="Calibri" w:hAnsi="Calibri"/>
          <w:color w:val="000000"/>
          <w:sz w:val="22"/>
          <w:szCs w:val="22"/>
        </w:rPr>
        <w:t xml:space="preserve">see rule </w:t>
      </w:r>
      <w:r w:rsidR="00890B63" w:rsidRPr="00412A49">
        <w:rPr>
          <w:rFonts w:ascii="Calibri" w:hAnsi="Calibri"/>
          <w:color w:val="000000"/>
          <w:sz w:val="22"/>
          <w:szCs w:val="22"/>
        </w:rPr>
        <w:t xml:space="preserve">783AE(1)(a)(iii)(C) </w:t>
      </w:r>
      <w:r w:rsidR="00A97E37" w:rsidRPr="00412A49">
        <w:rPr>
          <w:rFonts w:ascii="Calibri" w:hAnsi="Calibri"/>
          <w:color w:val="000000"/>
          <w:sz w:val="22"/>
          <w:szCs w:val="22"/>
        </w:rPr>
        <w:t xml:space="preserve">of the </w:t>
      </w:r>
      <w:r w:rsidR="00A97E37" w:rsidRPr="00412A49">
        <w:rPr>
          <w:rFonts w:ascii="Calibri" w:hAnsi="Calibri"/>
          <w:i/>
          <w:color w:val="000000"/>
          <w:sz w:val="22"/>
          <w:szCs w:val="22"/>
        </w:rPr>
        <w:t>Supreme Court Rules 2000</w:t>
      </w:r>
      <w:r w:rsidR="00A97E37" w:rsidRPr="00412A49">
        <w:rPr>
          <w:rFonts w:ascii="Calibri" w:hAnsi="Calibri"/>
          <w:color w:val="000000"/>
          <w:sz w:val="22"/>
          <w:szCs w:val="22"/>
        </w:rPr>
        <w:t>)</w:t>
      </w:r>
      <w:r w:rsidRPr="00412A49">
        <w:rPr>
          <w:rFonts w:ascii="Calibri" w:hAnsi="Calibri"/>
          <w:color w:val="000000"/>
          <w:sz w:val="22"/>
          <w:szCs w:val="22"/>
        </w:rPr>
        <w:t>;</w:t>
      </w:r>
    </w:p>
    <w:p w:rsidR="00697044" w:rsidRPr="00412A49" w:rsidRDefault="00315EDE" w:rsidP="00697044">
      <w:pPr>
        <w:numPr>
          <w:ilvl w:val="0"/>
          <w:numId w:val="20"/>
        </w:numPr>
        <w:spacing w:line="360" w:lineRule="auto"/>
        <w:rPr>
          <w:rFonts w:ascii="Calibri" w:hAnsi="Calibri"/>
          <w:color w:val="000000"/>
          <w:sz w:val="22"/>
          <w:szCs w:val="22"/>
        </w:rPr>
      </w:pPr>
      <w:r w:rsidRPr="00412A49">
        <w:rPr>
          <w:rFonts w:ascii="Calibri" w:hAnsi="Calibri"/>
          <w:color w:val="000000"/>
          <w:sz w:val="22"/>
          <w:szCs w:val="22"/>
        </w:rPr>
        <w:lastRenderedPageBreak/>
        <w:t xml:space="preserve">identifying </w:t>
      </w:r>
      <w:r w:rsidR="009419C2" w:rsidRPr="00412A49">
        <w:rPr>
          <w:rFonts w:ascii="Calibri" w:hAnsi="Calibri"/>
          <w:color w:val="000000"/>
          <w:sz w:val="22"/>
          <w:szCs w:val="22"/>
        </w:rPr>
        <w:t xml:space="preserve">and obtaining the consent of </w:t>
      </w:r>
      <w:r w:rsidRPr="00412A49">
        <w:rPr>
          <w:rFonts w:ascii="Calibri" w:hAnsi="Calibri"/>
          <w:color w:val="000000"/>
          <w:sz w:val="22"/>
          <w:szCs w:val="22"/>
        </w:rPr>
        <w:t xml:space="preserve">two acceptable deponents to </w:t>
      </w:r>
      <w:r w:rsidR="0036721E" w:rsidRPr="00412A49">
        <w:rPr>
          <w:rFonts w:ascii="Calibri" w:hAnsi="Calibri"/>
          <w:color w:val="000000"/>
          <w:sz w:val="22"/>
          <w:szCs w:val="22"/>
        </w:rPr>
        <w:t>provide</w:t>
      </w:r>
      <w:r w:rsidRPr="00412A49">
        <w:rPr>
          <w:rFonts w:ascii="Calibri" w:hAnsi="Calibri"/>
          <w:color w:val="000000"/>
          <w:sz w:val="22"/>
          <w:szCs w:val="22"/>
        </w:rPr>
        <w:t xml:space="preserve"> affidavit</w:t>
      </w:r>
      <w:r w:rsidR="0036721E" w:rsidRPr="00412A49">
        <w:rPr>
          <w:rFonts w:ascii="Calibri" w:hAnsi="Calibri"/>
          <w:color w:val="000000"/>
          <w:sz w:val="22"/>
          <w:szCs w:val="22"/>
        </w:rPr>
        <w:t>s</w:t>
      </w:r>
      <w:r w:rsidRPr="00412A49">
        <w:rPr>
          <w:rFonts w:ascii="Calibri" w:hAnsi="Calibri"/>
          <w:color w:val="000000"/>
          <w:sz w:val="22"/>
          <w:szCs w:val="22"/>
        </w:rPr>
        <w:t xml:space="preserve"> as to character</w:t>
      </w:r>
      <w:r w:rsidR="00E95401" w:rsidRPr="00412A49">
        <w:rPr>
          <w:rFonts w:ascii="Calibri" w:hAnsi="Calibri"/>
          <w:color w:val="000000"/>
          <w:sz w:val="22"/>
          <w:szCs w:val="22"/>
        </w:rPr>
        <w:t xml:space="preserve"> (see </w:t>
      </w:r>
      <w:r w:rsidR="005B1878" w:rsidRPr="00412A49">
        <w:rPr>
          <w:rFonts w:ascii="Calibri" w:hAnsi="Calibri"/>
          <w:color w:val="000000"/>
          <w:sz w:val="22"/>
          <w:szCs w:val="22"/>
        </w:rPr>
        <w:t xml:space="preserve">more detailed advice as to this </w:t>
      </w:r>
      <w:r w:rsidR="00764BB5" w:rsidRPr="00412A49">
        <w:rPr>
          <w:rFonts w:ascii="Calibri" w:hAnsi="Calibri"/>
          <w:color w:val="000000"/>
          <w:sz w:val="22"/>
          <w:szCs w:val="22"/>
        </w:rPr>
        <w:t>below under the hea</w:t>
      </w:r>
      <w:r w:rsidR="0037250D">
        <w:rPr>
          <w:rFonts w:ascii="Calibri" w:hAnsi="Calibri"/>
          <w:color w:val="000000"/>
          <w:sz w:val="22"/>
          <w:szCs w:val="22"/>
        </w:rPr>
        <w:t>d</w:t>
      </w:r>
      <w:r w:rsidR="00764BB5" w:rsidRPr="00412A49">
        <w:rPr>
          <w:rFonts w:ascii="Calibri" w:hAnsi="Calibri"/>
          <w:color w:val="000000"/>
          <w:sz w:val="22"/>
          <w:szCs w:val="22"/>
        </w:rPr>
        <w:t>ing “The affidavits as to character”</w:t>
      </w:r>
      <w:r w:rsidR="005B1878" w:rsidRPr="00412A49">
        <w:rPr>
          <w:rFonts w:ascii="Calibri" w:hAnsi="Calibri"/>
          <w:color w:val="000000"/>
          <w:sz w:val="22"/>
          <w:szCs w:val="22"/>
        </w:rPr>
        <w:t>)</w:t>
      </w:r>
      <w:r w:rsidRPr="00412A49">
        <w:rPr>
          <w:rFonts w:ascii="Calibri" w:hAnsi="Calibri"/>
          <w:color w:val="000000"/>
          <w:sz w:val="22"/>
          <w:szCs w:val="22"/>
        </w:rPr>
        <w:t>;</w:t>
      </w:r>
    </w:p>
    <w:p w:rsidR="009F3FFF" w:rsidRPr="00412A49" w:rsidRDefault="00315EDE" w:rsidP="00315EDE">
      <w:pPr>
        <w:numPr>
          <w:ilvl w:val="0"/>
          <w:numId w:val="20"/>
        </w:numPr>
        <w:spacing w:line="360" w:lineRule="auto"/>
        <w:rPr>
          <w:rFonts w:ascii="Calibri" w:hAnsi="Calibri"/>
          <w:color w:val="000000"/>
          <w:sz w:val="22"/>
          <w:szCs w:val="22"/>
        </w:rPr>
      </w:pPr>
      <w:r w:rsidRPr="00412A49">
        <w:rPr>
          <w:rFonts w:ascii="Calibri" w:hAnsi="Calibri"/>
          <w:color w:val="000000"/>
          <w:sz w:val="22"/>
          <w:szCs w:val="22"/>
        </w:rPr>
        <w:t>preparing draft</w:t>
      </w:r>
      <w:r w:rsidR="00742000" w:rsidRPr="00412A49">
        <w:rPr>
          <w:rFonts w:ascii="Calibri" w:hAnsi="Calibri"/>
          <w:color w:val="000000"/>
          <w:sz w:val="22"/>
          <w:szCs w:val="22"/>
        </w:rPr>
        <w:t>s</w:t>
      </w:r>
      <w:r w:rsidRPr="00412A49">
        <w:rPr>
          <w:rFonts w:ascii="Calibri" w:hAnsi="Calibri"/>
          <w:color w:val="000000"/>
          <w:sz w:val="22"/>
          <w:szCs w:val="22"/>
        </w:rPr>
        <w:t xml:space="preserve"> of</w:t>
      </w:r>
      <w:r w:rsidR="00742000" w:rsidRPr="00412A49">
        <w:rPr>
          <w:rFonts w:ascii="Calibri" w:hAnsi="Calibri"/>
          <w:color w:val="000000"/>
          <w:sz w:val="22"/>
          <w:szCs w:val="22"/>
        </w:rPr>
        <w:t xml:space="preserve"> the notice of intention to apply for admission,</w:t>
      </w:r>
      <w:r w:rsidRPr="00412A49">
        <w:rPr>
          <w:rFonts w:ascii="Calibri" w:hAnsi="Calibri"/>
          <w:color w:val="000000"/>
          <w:sz w:val="22"/>
          <w:szCs w:val="22"/>
        </w:rPr>
        <w:t xml:space="preserve"> the applicant’s supporting affidavit, the affidavits as to character and other </w:t>
      </w:r>
      <w:r w:rsidR="00513CF0" w:rsidRPr="00412A49">
        <w:rPr>
          <w:rFonts w:ascii="Calibri" w:hAnsi="Calibri"/>
          <w:color w:val="000000"/>
          <w:sz w:val="22"/>
          <w:szCs w:val="22"/>
        </w:rPr>
        <w:t>documentation relating to the application</w:t>
      </w:r>
      <w:r w:rsidR="005B1878" w:rsidRPr="00412A49">
        <w:rPr>
          <w:rFonts w:ascii="Calibri" w:hAnsi="Calibri"/>
          <w:color w:val="000000"/>
          <w:sz w:val="22"/>
          <w:szCs w:val="22"/>
        </w:rPr>
        <w:t xml:space="preserve"> (see more det</w:t>
      </w:r>
      <w:r w:rsidR="0041171F" w:rsidRPr="00412A49">
        <w:rPr>
          <w:rFonts w:ascii="Calibri" w:hAnsi="Calibri"/>
          <w:color w:val="000000"/>
          <w:sz w:val="22"/>
          <w:szCs w:val="22"/>
        </w:rPr>
        <w:t>ailed advice as to this below under the heading “Affidavit in support of the application for admission”</w:t>
      </w:r>
      <w:r w:rsidR="005B1878" w:rsidRPr="00412A49">
        <w:rPr>
          <w:rFonts w:ascii="Calibri" w:hAnsi="Calibri"/>
          <w:color w:val="000000"/>
          <w:sz w:val="22"/>
          <w:szCs w:val="22"/>
        </w:rPr>
        <w:t xml:space="preserve"> )</w:t>
      </w:r>
      <w:r w:rsidR="00513CF0" w:rsidRPr="00412A49">
        <w:rPr>
          <w:rFonts w:ascii="Calibri" w:hAnsi="Calibri"/>
          <w:color w:val="000000"/>
          <w:sz w:val="22"/>
          <w:szCs w:val="22"/>
        </w:rPr>
        <w:t>;</w:t>
      </w:r>
      <w:r w:rsidR="005B1878" w:rsidRPr="00412A49">
        <w:rPr>
          <w:rFonts w:ascii="Calibri" w:hAnsi="Calibri"/>
          <w:color w:val="000000"/>
          <w:sz w:val="22"/>
          <w:szCs w:val="22"/>
        </w:rPr>
        <w:t xml:space="preserve"> </w:t>
      </w:r>
      <w:r w:rsidR="00A27C0E" w:rsidRPr="00412A49">
        <w:rPr>
          <w:rFonts w:ascii="Calibri" w:hAnsi="Calibri"/>
          <w:color w:val="000000"/>
          <w:sz w:val="22"/>
          <w:szCs w:val="22"/>
        </w:rPr>
        <w:t>and</w:t>
      </w:r>
    </w:p>
    <w:p w:rsidR="002C73A7" w:rsidRDefault="0047553E" w:rsidP="002C73A7">
      <w:pPr>
        <w:numPr>
          <w:ilvl w:val="0"/>
          <w:numId w:val="20"/>
        </w:numPr>
        <w:spacing w:line="360" w:lineRule="auto"/>
        <w:rPr>
          <w:rFonts w:ascii="Calibri" w:hAnsi="Calibri"/>
          <w:color w:val="000000"/>
          <w:sz w:val="22"/>
          <w:szCs w:val="22"/>
        </w:rPr>
      </w:pPr>
      <w:r>
        <w:rPr>
          <w:rFonts w:ascii="Calibri" w:hAnsi="Calibri"/>
          <w:color w:val="000000"/>
          <w:sz w:val="22"/>
          <w:szCs w:val="22"/>
        </w:rPr>
        <w:t xml:space="preserve">if you wish to be represented for the application then </w:t>
      </w:r>
      <w:r w:rsidR="00513CF0" w:rsidRPr="00412A49">
        <w:rPr>
          <w:rFonts w:ascii="Calibri" w:hAnsi="Calibri"/>
          <w:color w:val="000000"/>
          <w:sz w:val="22"/>
          <w:szCs w:val="22"/>
        </w:rPr>
        <w:t>identifying and seeking the consent of a legal practitioner who is willing to appear in Court to move your admission at such t</w:t>
      </w:r>
      <w:r w:rsidR="009F3FFF" w:rsidRPr="00412A49">
        <w:rPr>
          <w:rFonts w:ascii="Calibri" w:hAnsi="Calibri"/>
          <w:color w:val="000000"/>
          <w:sz w:val="22"/>
          <w:szCs w:val="22"/>
        </w:rPr>
        <w:t>ime as the application is heard</w:t>
      </w:r>
      <w:r w:rsidR="007F3900">
        <w:rPr>
          <w:rFonts w:ascii="Calibri" w:hAnsi="Calibri"/>
          <w:color w:val="000000"/>
          <w:sz w:val="22"/>
          <w:szCs w:val="22"/>
        </w:rPr>
        <w:t>.</w:t>
      </w:r>
      <w:r w:rsidR="00667163" w:rsidRPr="00412A49">
        <w:rPr>
          <w:rFonts w:ascii="Calibri" w:hAnsi="Calibri"/>
          <w:color w:val="000000"/>
          <w:sz w:val="22"/>
          <w:szCs w:val="22"/>
        </w:rPr>
        <w:t xml:space="preserve"> </w:t>
      </w:r>
      <w:r w:rsidR="007F3900">
        <w:rPr>
          <w:rFonts w:ascii="Calibri" w:hAnsi="Calibri"/>
          <w:color w:val="000000"/>
          <w:sz w:val="22"/>
          <w:szCs w:val="22"/>
        </w:rPr>
        <w:t>(</w:t>
      </w:r>
      <w:r w:rsidR="0036721E" w:rsidRPr="00412A49">
        <w:rPr>
          <w:rFonts w:ascii="Calibri" w:hAnsi="Calibri"/>
          <w:color w:val="000000"/>
          <w:sz w:val="22"/>
          <w:szCs w:val="22"/>
        </w:rPr>
        <w:t xml:space="preserve">It is the practice that applicants are represented by a legal practitioner.  But it is not a legal requirement and applicants may appear unrepresented.  </w:t>
      </w:r>
      <w:r w:rsidR="00960B71" w:rsidRPr="00412A49">
        <w:rPr>
          <w:rFonts w:ascii="Calibri" w:hAnsi="Calibri"/>
          <w:color w:val="000000"/>
          <w:sz w:val="22"/>
          <w:szCs w:val="22"/>
        </w:rPr>
        <w:t>L</w:t>
      </w:r>
      <w:r w:rsidR="00667163" w:rsidRPr="00412A49">
        <w:rPr>
          <w:rFonts w:ascii="Calibri" w:hAnsi="Calibri"/>
          <w:color w:val="000000"/>
          <w:sz w:val="22"/>
          <w:szCs w:val="22"/>
        </w:rPr>
        <w:t xml:space="preserve">egal practitioners who co-ordinate and teach parts of the legal practice course </w:t>
      </w:r>
      <w:r w:rsidR="00960B71" w:rsidRPr="00412A49">
        <w:rPr>
          <w:rFonts w:ascii="Calibri" w:hAnsi="Calibri"/>
          <w:color w:val="000000"/>
          <w:sz w:val="22"/>
          <w:szCs w:val="22"/>
        </w:rPr>
        <w:t>often provide this service</w:t>
      </w:r>
      <w:r w:rsidR="008C291A" w:rsidRPr="00412A49">
        <w:rPr>
          <w:rFonts w:ascii="Calibri" w:hAnsi="Calibri"/>
          <w:color w:val="000000"/>
          <w:sz w:val="22"/>
          <w:szCs w:val="22"/>
        </w:rPr>
        <w:t xml:space="preserve"> for students in the course</w:t>
      </w:r>
      <w:r w:rsidR="007F3900">
        <w:rPr>
          <w:rFonts w:ascii="Calibri" w:hAnsi="Calibri"/>
          <w:color w:val="000000"/>
          <w:sz w:val="22"/>
          <w:szCs w:val="22"/>
        </w:rPr>
        <w:t>)</w:t>
      </w:r>
      <w:r w:rsidR="00A27C0E" w:rsidRPr="00412A49">
        <w:rPr>
          <w:rFonts w:ascii="Calibri" w:hAnsi="Calibri"/>
          <w:color w:val="000000"/>
          <w:sz w:val="22"/>
          <w:szCs w:val="22"/>
        </w:rPr>
        <w:t>.</w:t>
      </w:r>
    </w:p>
    <w:p w:rsidR="0047553E" w:rsidRPr="00412A49" w:rsidRDefault="0047553E" w:rsidP="0047553E">
      <w:pPr>
        <w:spacing w:line="360" w:lineRule="auto"/>
        <w:ind w:left="720"/>
        <w:rPr>
          <w:rFonts w:ascii="Calibri" w:hAnsi="Calibri"/>
          <w:color w:val="000000"/>
          <w:sz w:val="22"/>
          <w:szCs w:val="22"/>
        </w:rPr>
      </w:pPr>
    </w:p>
    <w:p w:rsidR="00B957F2" w:rsidRPr="0067715C" w:rsidRDefault="00B957F2" w:rsidP="00B957F2">
      <w:pPr>
        <w:numPr>
          <w:ilvl w:val="0"/>
          <w:numId w:val="5"/>
        </w:numPr>
        <w:overflowPunct/>
        <w:autoSpaceDE/>
        <w:autoSpaceDN/>
        <w:adjustRightInd/>
        <w:spacing w:line="360" w:lineRule="auto"/>
        <w:textAlignment w:val="auto"/>
        <w:rPr>
          <w:rFonts w:ascii="Calibri" w:hAnsi="Calibri"/>
          <w:b/>
          <w:color w:val="000000"/>
          <w:sz w:val="22"/>
          <w:szCs w:val="22"/>
        </w:rPr>
      </w:pPr>
      <w:r w:rsidRPr="0067715C">
        <w:rPr>
          <w:rFonts w:ascii="Calibri" w:hAnsi="Calibri"/>
          <w:b/>
          <w:i/>
          <w:color w:val="000000"/>
          <w:sz w:val="24"/>
          <w:szCs w:val="24"/>
        </w:rPr>
        <w:t>Originating application</w:t>
      </w:r>
      <w:r w:rsidRPr="0067715C">
        <w:rPr>
          <w:rFonts w:ascii="Calibri" w:hAnsi="Calibri"/>
          <w:b/>
          <w:color w:val="000000"/>
          <w:sz w:val="22"/>
          <w:szCs w:val="22"/>
        </w:rPr>
        <w:t xml:space="preserve">: </w:t>
      </w:r>
    </w:p>
    <w:p w:rsidR="00B957F2" w:rsidRPr="00412A49" w:rsidRDefault="0073589B" w:rsidP="00B957F2">
      <w:pPr>
        <w:numPr>
          <w:ilvl w:val="0"/>
          <w:numId w:val="2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An application for admission is commenced by originating application to the Court (see rule 783AD(1) of the </w:t>
      </w:r>
      <w:r w:rsidRPr="00412A49">
        <w:rPr>
          <w:rFonts w:ascii="Calibri" w:hAnsi="Calibri"/>
          <w:i/>
          <w:color w:val="000000"/>
          <w:sz w:val="22"/>
          <w:szCs w:val="22"/>
        </w:rPr>
        <w:t xml:space="preserve">Supreme Court Rules 2000, </w:t>
      </w:r>
      <w:r w:rsidRPr="00412A49">
        <w:rPr>
          <w:rFonts w:ascii="Calibri" w:hAnsi="Calibri"/>
          <w:color w:val="000000"/>
          <w:sz w:val="22"/>
          <w:szCs w:val="22"/>
        </w:rPr>
        <w:t xml:space="preserve">and form </w:t>
      </w:r>
      <w:r w:rsidR="001559B2" w:rsidRPr="00412A49">
        <w:rPr>
          <w:rFonts w:ascii="Calibri" w:hAnsi="Calibri"/>
          <w:color w:val="000000"/>
          <w:sz w:val="22"/>
          <w:szCs w:val="22"/>
        </w:rPr>
        <w:t>3</w:t>
      </w:r>
      <w:r w:rsidRPr="00412A49">
        <w:rPr>
          <w:rFonts w:ascii="Calibri" w:hAnsi="Calibri"/>
          <w:color w:val="000000"/>
          <w:sz w:val="22"/>
          <w:szCs w:val="22"/>
        </w:rPr>
        <w:t xml:space="preserve"> of the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w:t>
      </w:r>
    </w:p>
    <w:p w:rsidR="009C221E" w:rsidRPr="00412A49" w:rsidRDefault="009C221E" w:rsidP="009C221E">
      <w:pPr>
        <w:numPr>
          <w:ilvl w:val="0"/>
          <w:numId w:val="2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order sought in the application should be</w:t>
      </w:r>
      <w:r w:rsidR="00497DEC">
        <w:rPr>
          <w:rFonts w:ascii="Calibri" w:hAnsi="Calibri"/>
          <w:color w:val="000000"/>
          <w:sz w:val="22"/>
          <w:szCs w:val="22"/>
        </w:rPr>
        <w:t>:</w:t>
      </w:r>
    </w:p>
    <w:p w:rsidR="009C221E" w:rsidRPr="00680B91" w:rsidRDefault="00680B91" w:rsidP="009C221E">
      <w:pPr>
        <w:overflowPunct/>
        <w:autoSpaceDE/>
        <w:autoSpaceDN/>
        <w:adjustRightInd/>
        <w:spacing w:line="360" w:lineRule="auto"/>
        <w:ind w:left="1080"/>
        <w:textAlignment w:val="auto"/>
        <w:rPr>
          <w:rFonts w:ascii="Calibri" w:hAnsi="Calibri"/>
          <w:color w:val="000000"/>
          <w:sz w:val="22"/>
          <w:szCs w:val="22"/>
        </w:rPr>
      </w:pPr>
      <w:r>
        <w:rPr>
          <w:rFonts w:ascii="Calibri" w:hAnsi="Calibri"/>
          <w:color w:val="000000"/>
          <w:sz w:val="22"/>
          <w:szCs w:val="22"/>
        </w:rPr>
        <w:t>“</w:t>
      </w:r>
      <w:r w:rsidR="009C221E" w:rsidRPr="00680B91">
        <w:rPr>
          <w:rFonts w:ascii="Calibri" w:hAnsi="Calibri"/>
          <w:color w:val="000000"/>
          <w:sz w:val="22"/>
          <w:szCs w:val="22"/>
        </w:rPr>
        <w:t xml:space="preserve">a.) That the applicant [applicant’s name] be admitted to the </w:t>
      </w:r>
      <w:r w:rsidR="0036721E" w:rsidRPr="00680B91">
        <w:rPr>
          <w:rFonts w:ascii="Calibri" w:hAnsi="Calibri"/>
          <w:color w:val="000000"/>
          <w:sz w:val="22"/>
          <w:szCs w:val="22"/>
        </w:rPr>
        <w:t>l</w:t>
      </w:r>
      <w:r w:rsidR="009C221E" w:rsidRPr="00680B91">
        <w:rPr>
          <w:rFonts w:ascii="Calibri" w:hAnsi="Calibri"/>
          <w:color w:val="000000"/>
          <w:sz w:val="22"/>
          <w:szCs w:val="22"/>
        </w:rPr>
        <w:t xml:space="preserve">egal </w:t>
      </w:r>
      <w:r w:rsidR="0036721E" w:rsidRPr="00680B91">
        <w:rPr>
          <w:rFonts w:ascii="Calibri" w:hAnsi="Calibri"/>
          <w:color w:val="000000"/>
          <w:sz w:val="22"/>
          <w:szCs w:val="22"/>
        </w:rPr>
        <w:t>p</w:t>
      </w:r>
      <w:r w:rsidR="009C221E" w:rsidRPr="00680B91">
        <w:rPr>
          <w:rFonts w:ascii="Calibri" w:hAnsi="Calibri"/>
          <w:color w:val="000000"/>
          <w:sz w:val="22"/>
          <w:szCs w:val="22"/>
        </w:rPr>
        <w:t>rofession.</w:t>
      </w:r>
      <w:r>
        <w:rPr>
          <w:rFonts w:ascii="Calibri" w:hAnsi="Calibri"/>
          <w:color w:val="000000"/>
          <w:sz w:val="22"/>
          <w:szCs w:val="22"/>
        </w:rPr>
        <w:t>”</w:t>
      </w:r>
    </w:p>
    <w:p w:rsidR="00B957F2" w:rsidRPr="00412A49" w:rsidRDefault="0073589B" w:rsidP="000319E9">
      <w:pPr>
        <w:numPr>
          <w:ilvl w:val="0"/>
          <w:numId w:val="2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Court</w:t>
      </w:r>
      <w:r w:rsidR="005F49E1" w:rsidRPr="00412A49">
        <w:rPr>
          <w:rFonts w:ascii="Calibri" w:hAnsi="Calibri"/>
          <w:color w:val="000000"/>
          <w:sz w:val="22"/>
          <w:szCs w:val="22"/>
        </w:rPr>
        <w:t>’s</w:t>
      </w:r>
      <w:r w:rsidRPr="00412A49">
        <w:rPr>
          <w:rFonts w:ascii="Calibri" w:hAnsi="Calibri"/>
          <w:color w:val="000000"/>
          <w:sz w:val="22"/>
          <w:szCs w:val="22"/>
        </w:rPr>
        <w:t xml:space="preserve"> filing fee for an originating application for the purpose of admission is </w:t>
      </w:r>
      <w:r w:rsidR="003E7465">
        <w:rPr>
          <w:rFonts w:ascii="Calibri" w:hAnsi="Calibri"/>
          <w:color w:val="000000"/>
          <w:sz w:val="22"/>
          <w:szCs w:val="22"/>
        </w:rPr>
        <w:t xml:space="preserve">shown at Item 2 in Schedule 1 of the </w:t>
      </w:r>
      <w:r w:rsidR="003E7465" w:rsidRPr="003E7465">
        <w:rPr>
          <w:rFonts w:ascii="Calibri" w:hAnsi="Calibri"/>
          <w:i/>
          <w:color w:val="000000"/>
          <w:sz w:val="22"/>
          <w:szCs w:val="22"/>
        </w:rPr>
        <w:t>Supreme Court</w:t>
      </w:r>
      <w:r w:rsidR="003E7465">
        <w:rPr>
          <w:rFonts w:ascii="Calibri" w:hAnsi="Calibri"/>
          <w:i/>
          <w:color w:val="000000"/>
          <w:sz w:val="22"/>
          <w:szCs w:val="22"/>
        </w:rPr>
        <w:t xml:space="preserve"> (Fees)</w:t>
      </w:r>
      <w:r w:rsidR="003E7465" w:rsidRPr="003E7465">
        <w:rPr>
          <w:rFonts w:ascii="Calibri" w:hAnsi="Calibri"/>
          <w:i/>
          <w:color w:val="000000"/>
          <w:sz w:val="22"/>
          <w:szCs w:val="22"/>
        </w:rPr>
        <w:t xml:space="preserve"> Rules</w:t>
      </w:r>
      <w:r w:rsidR="003E7465">
        <w:rPr>
          <w:rFonts w:ascii="Calibri" w:hAnsi="Calibri"/>
          <w:color w:val="000000"/>
          <w:sz w:val="22"/>
          <w:szCs w:val="22"/>
        </w:rPr>
        <w:t xml:space="preserve"> 2017 available at </w:t>
      </w:r>
      <w:hyperlink r:id="rId7" w:history="1">
        <w:r w:rsidR="000319E9" w:rsidRPr="001E2BFC">
          <w:rPr>
            <w:rStyle w:val="Hyperlink"/>
            <w:rFonts w:ascii="Calibri" w:hAnsi="Calibri"/>
            <w:sz w:val="22"/>
            <w:szCs w:val="22"/>
          </w:rPr>
          <w:t>https://www.supremecourt.tas.gov.au/the-court/fees/filing-fees/</w:t>
        </w:r>
      </w:hyperlink>
      <w:r w:rsidR="000319E9">
        <w:rPr>
          <w:rFonts w:ascii="Calibri" w:hAnsi="Calibri"/>
          <w:color w:val="000000"/>
          <w:sz w:val="22"/>
          <w:szCs w:val="22"/>
        </w:rPr>
        <w:t xml:space="preserve"> </w:t>
      </w:r>
    </w:p>
    <w:p w:rsidR="00AF54C7" w:rsidRPr="00412A49" w:rsidRDefault="00AF54C7" w:rsidP="00B957F2">
      <w:pPr>
        <w:numPr>
          <w:ilvl w:val="0"/>
          <w:numId w:val="2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 date for the hearing of the application will be provided by the Court at the time that the application is lodged with the Court.</w:t>
      </w:r>
    </w:p>
    <w:p w:rsidR="004960EB" w:rsidRDefault="004960EB" w:rsidP="00B957F2">
      <w:pPr>
        <w:numPr>
          <w:ilvl w:val="0"/>
          <w:numId w:val="2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Applicants should bring </w:t>
      </w:r>
      <w:r w:rsidR="005C38F8" w:rsidRPr="00412A49">
        <w:rPr>
          <w:rFonts w:ascii="Calibri" w:hAnsi="Calibri"/>
          <w:color w:val="000000"/>
          <w:sz w:val="22"/>
          <w:szCs w:val="22"/>
        </w:rPr>
        <w:t xml:space="preserve">one (1) original and </w:t>
      </w:r>
      <w:r w:rsidR="0061721F" w:rsidRPr="00412A49">
        <w:rPr>
          <w:rFonts w:ascii="Calibri" w:hAnsi="Calibri"/>
          <w:color w:val="000000"/>
          <w:sz w:val="22"/>
          <w:szCs w:val="22"/>
        </w:rPr>
        <w:t>four</w:t>
      </w:r>
      <w:r w:rsidRPr="00412A49">
        <w:rPr>
          <w:rFonts w:ascii="Calibri" w:hAnsi="Calibri"/>
          <w:color w:val="000000"/>
          <w:sz w:val="22"/>
          <w:szCs w:val="22"/>
        </w:rPr>
        <w:t xml:space="preserve"> (</w:t>
      </w:r>
      <w:r w:rsidR="00FC0110" w:rsidRPr="00412A49">
        <w:rPr>
          <w:rFonts w:ascii="Calibri" w:hAnsi="Calibri"/>
          <w:color w:val="000000"/>
          <w:sz w:val="22"/>
          <w:szCs w:val="22"/>
        </w:rPr>
        <w:t>4</w:t>
      </w:r>
      <w:r w:rsidRPr="00412A49">
        <w:rPr>
          <w:rFonts w:ascii="Calibri" w:hAnsi="Calibri"/>
          <w:color w:val="000000"/>
          <w:sz w:val="22"/>
          <w:szCs w:val="22"/>
        </w:rPr>
        <w:t>) copies of the originating application to the</w:t>
      </w:r>
      <w:r w:rsidR="005C38F8" w:rsidRPr="00412A49">
        <w:rPr>
          <w:rFonts w:ascii="Calibri" w:hAnsi="Calibri"/>
          <w:color w:val="000000"/>
          <w:sz w:val="22"/>
          <w:szCs w:val="22"/>
        </w:rPr>
        <w:t xml:space="preserve"> Court at the time of lodgment.  Of these</w:t>
      </w:r>
      <w:r w:rsidRPr="00412A49">
        <w:rPr>
          <w:rFonts w:ascii="Calibri" w:hAnsi="Calibri"/>
          <w:color w:val="000000"/>
          <w:sz w:val="22"/>
          <w:szCs w:val="22"/>
        </w:rPr>
        <w:t xml:space="preserve"> </w:t>
      </w:r>
      <w:r w:rsidR="005C38F8" w:rsidRPr="00412A49">
        <w:rPr>
          <w:rFonts w:ascii="Calibri" w:hAnsi="Calibri"/>
          <w:color w:val="000000"/>
          <w:sz w:val="22"/>
          <w:szCs w:val="22"/>
        </w:rPr>
        <w:t>the original</w:t>
      </w:r>
      <w:r w:rsidRPr="00412A49">
        <w:rPr>
          <w:rFonts w:ascii="Calibri" w:hAnsi="Calibri"/>
          <w:color w:val="000000"/>
          <w:sz w:val="22"/>
          <w:szCs w:val="22"/>
        </w:rPr>
        <w:t xml:space="preserve"> is stamped and filed with the Court</w:t>
      </w:r>
      <w:r w:rsidR="008F288A" w:rsidRPr="00412A49">
        <w:rPr>
          <w:rFonts w:ascii="Calibri" w:hAnsi="Calibri"/>
          <w:color w:val="000000"/>
          <w:sz w:val="22"/>
          <w:szCs w:val="22"/>
        </w:rPr>
        <w:t xml:space="preserve"> (the original)</w:t>
      </w:r>
      <w:r w:rsidRPr="00412A49">
        <w:rPr>
          <w:rFonts w:ascii="Calibri" w:hAnsi="Calibri"/>
          <w:color w:val="000000"/>
          <w:sz w:val="22"/>
          <w:szCs w:val="22"/>
        </w:rPr>
        <w:t>; two copies are stamped and ret</w:t>
      </w:r>
      <w:r w:rsidR="008F288A" w:rsidRPr="00412A49">
        <w:rPr>
          <w:rFonts w:ascii="Calibri" w:hAnsi="Calibri"/>
          <w:color w:val="000000"/>
          <w:sz w:val="22"/>
          <w:szCs w:val="22"/>
        </w:rPr>
        <w:t>urned</w:t>
      </w:r>
      <w:r w:rsidRPr="00412A49">
        <w:rPr>
          <w:rFonts w:ascii="Calibri" w:hAnsi="Calibri"/>
          <w:color w:val="000000"/>
          <w:sz w:val="22"/>
          <w:szCs w:val="22"/>
        </w:rPr>
        <w:t xml:space="preserve"> </w:t>
      </w:r>
      <w:r w:rsidR="008F288A" w:rsidRPr="00412A49">
        <w:rPr>
          <w:rFonts w:ascii="Calibri" w:hAnsi="Calibri"/>
          <w:color w:val="000000"/>
          <w:sz w:val="22"/>
          <w:szCs w:val="22"/>
        </w:rPr>
        <w:t xml:space="preserve">to </w:t>
      </w:r>
      <w:r w:rsidRPr="00412A49">
        <w:rPr>
          <w:rFonts w:ascii="Calibri" w:hAnsi="Calibri"/>
          <w:color w:val="000000"/>
          <w:sz w:val="22"/>
          <w:szCs w:val="22"/>
        </w:rPr>
        <w:t xml:space="preserve">the applicant for service; </w:t>
      </w:r>
      <w:r w:rsidR="00FC0110" w:rsidRPr="00412A49">
        <w:rPr>
          <w:rFonts w:ascii="Calibri" w:hAnsi="Calibri"/>
          <w:color w:val="000000"/>
          <w:sz w:val="22"/>
          <w:szCs w:val="22"/>
        </w:rPr>
        <w:t xml:space="preserve">one copy is stamped and returned to the applicant to be provided to the legal practitioner moving the applicant’s admission; and </w:t>
      </w:r>
      <w:r w:rsidRPr="00412A49">
        <w:rPr>
          <w:rFonts w:ascii="Calibri" w:hAnsi="Calibri"/>
          <w:color w:val="000000"/>
          <w:sz w:val="22"/>
          <w:szCs w:val="22"/>
        </w:rPr>
        <w:t>one copy is stamped and retained by the applicant for his or her records.</w:t>
      </w:r>
    </w:p>
    <w:p w:rsidR="00D12DDD" w:rsidRPr="00412A49" w:rsidRDefault="00D12DDD" w:rsidP="00D12DDD">
      <w:pPr>
        <w:overflowPunct/>
        <w:autoSpaceDE/>
        <w:autoSpaceDN/>
        <w:adjustRightInd/>
        <w:spacing w:line="360" w:lineRule="auto"/>
        <w:ind w:left="720"/>
        <w:textAlignment w:val="auto"/>
        <w:rPr>
          <w:rFonts w:ascii="Calibri" w:hAnsi="Calibri"/>
          <w:color w:val="000000"/>
          <w:sz w:val="22"/>
          <w:szCs w:val="22"/>
        </w:rPr>
      </w:pPr>
    </w:p>
    <w:p w:rsidR="00B957F2" w:rsidRPr="0067715C" w:rsidRDefault="00B957F2" w:rsidP="0073589B">
      <w:pPr>
        <w:numPr>
          <w:ilvl w:val="0"/>
          <w:numId w:val="5"/>
        </w:numPr>
        <w:overflowPunct/>
        <w:autoSpaceDE/>
        <w:autoSpaceDN/>
        <w:adjustRightInd/>
        <w:spacing w:line="360" w:lineRule="auto"/>
        <w:textAlignment w:val="auto"/>
        <w:rPr>
          <w:rFonts w:ascii="Calibri" w:hAnsi="Calibri"/>
          <w:b/>
          <w:color w:val="000000"/>
          <w:sz w:val="22"/>
          <w:szCs w:val="22"/>
        </w:rPr>
      </w:pPr>
      <w:r w:rsidRPr="0067715C">
        <w:rPr>
          <w:rFonts w:ascii="Calibri" w:hAnsi="Calibri"/>
          <w:b/>
          <w:i/>
          <w:color w:val="000000"/>
          <w:sz w:val="24"/>
          <w:szCs w:val="24"/>
        </w:rPr>
        <w:t>Notice of intention to apply for admission</w:t>
      </w:r>
      <w:r w:rsidRPr="0067715C">
        <w:rPr>
          <w:rFonts w:ascii="Calibri" w:hAnsi="Calibri"/>
          <w:b/>
          <w:color w:val="000000"/>
          <w:sz w:val="22"/>
          <w:szCs w:val="22"/>
        </w:rPr>
        <w:t xml:space="preserve">: </w:t>
      </w:r>
    </w:p>
    <w:p w:rsidR="00B957F2" w:rsidRPr="00412A49" w:rsidRDefault="0073589B" w:rsidP="00B957F2">
      <w:pPr>
        <w:numPr>
          <w:ilvl w:val="0"/>
          <w:numId w:val="2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Not less than one month, or more than three months before the listing of the application, notice of intention to apply for admission in the prescribed form (see form 57BA </w:t>
      </w:r>
      <w:r w:rsidRPr="00412A49">
        <w:rPr>
          <w:rFonts w:ascii="Calibri" w:hAnsi="Calibri"/>
          <w:i/>
          <w:color w:val="000000"/>
          <w:sz w:val="22"/>
          <w:szCs w:val="22"/>
        </w:rPr>
        <w:t>Supreme Court Forms Rules 2000</w:t>
      </w:r>
      <w:r w:rsidRPr="00412A49">
        <w:rPr>
          <w:rFonts w:ascii="Calibri" w:hAnsi="Calibri"/>
          <w:color w:val="000000"/>
          <w:sz w:val="22"/>
          <w:szCs w:val="22"/>
        </w:rPr>
        <w:t xml:space="preserve">) must be published in two Tasmanian newspapers in accordance with rule 783AC of the </w:t>
      </w:r>
      <w:r w:rsidRPr="00412A49">
        <w:rPr>
          <w:rFonts w:ascii="Calibri" w:hAnsi="Calibri"/>
          <w:i/>
          <w:color w:val="000000"/>
          <w:sz w:val="22"/>
          <w:szCs w:val="22"/>
        </w:rPr>
        <w:t>Supreme Court Rules</w:t>
      </w:r>
      <w:r w:rsidRPr="00412A49">
        <w:rPr>
          <w:rFonts w:ascii="Calibri" w:hAnsi="Calibri"/>
          <w:color w:val="000000"/>
          <w:sz w:val="22"/>
          <w:szCs w:val="22"/>
        </w:rPr>
        <w:t xml:space="preserve"> </w:t>
      </w:r>
      <w:r w:rsidRPr="00412A49">
        <w:rPr>
          <w:rFonts w:ascii="Calibri" w:hAnsi="Calibri"/>
          <w:i/>
          <w:color w:val="000000"/>
          <w:sz w:val="22"/>
          <w:szCs w:val="22"/>
        </w:rPr>
        <w:t>2000</w:t>
      </w:r>
      <w:r w:rsidR="00B957F2" w:rsidRPr="00412A49">
        <w:rPr>
          <w:rFonts w:ascii="Calibri" w:hAnsi="Calibri"/>
          <w:color w:val="000000"/>
          <w:sz w:val="22"/>
          <w:szCs w:val="22"/>
        </w:rPr>
        <w:t xml:space="preserve">. </w:t>
      </w:r>
    </w:p>
    <w:p w:rsidR="00B957F2" w:rsidRPr="00412A49" w:rsidRDefault="0073589B" w:rsidP="00B957F2">
      <w:pPr>
        <w:numPr>
          <w:ilvl w:val="0"/>
          <w:numId w:val="2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rule also prescribes </w:t>
      </w:r>
      <w:r w:rsidR="00111BA1" w:rsidRPr="00412A49">
        <w:rPr>
          <w:rFonts w:ascii="Calibri" w:hAnsi="Calibri"/>
          <w:color w:val="000000"/>
          <w:sz w:val="22"/>
          <w:szCs w:val="22"/>
        </w:rPr>
        <w:t xml:space="preserve">in </w:t>
      </w:r>
      <w:r w:rsidRPr="00412A49">
        <w:rPr>
          <w:rFonts w:ascii="Calibri" w:hAnsi="Calibri"/>
          <w:color w:val="000000"/>
          <w:sz w:val="22"/>
          <w:szCs w:val="22"/>
        </w:rPr>
        <w:t>which newspapers the notice should appear.</w:t>
      </w:r>
      <w:r w:rsidR="00B957F2" w:rsidRPr="00412A49">
        <w:rPr>
          <w:rFonts w:ascii="Calibri" w:hAnsi="Calibri"/>
          <w:color w:val="000000"/>
          <w:sz w:val="22"/>
          <w:szCs w:val="22"/>
        </w:rPr>
        <w:t xml:space="preserve"> </w:t>
      </w:r>
    </w:p>
    <w:p w:rsidR="0073589B" w:rsidRDefault="009B5035" w:rsidP="00B957F2">
      <w:pPr>
        <w:numPr>
          <w:ilvl w:val="0"/>
          <w:numId w:val="22"/>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It is </w:t>
      </w:r>
      <w:r w:rsidR="001740AA" w:rsidRPr="00412A49">
        <w:rPr>
          <w:rFonts w:ascii="Calibri" w:hAnsi="Calibri"/>
          <w:color w:val="000000"/>
          <w:sz w:val="22"/>
          <w:szCs w:val="22"/>
        </w:rPr>
        <w:t>usual</w:t>
      </w:r>
      <w:r w:rsidRPr="00412A49">
        <w:rPr>
          <w:rFonts w:ascii="Calibri" w:hAnsi="Calibri"/>
          <w:color w:val="000000"/>
          <w:sz w:val="22"/>
          <w:szCs w:val="22"/>
        </w:rPr>
        <w:t xml:space="preserve"> for</w:t>
      </w:r>
      <w:r w:rsidR="00B957F2" w:rsidRPr="00412A49">
        <w:rPr>
          <w:rFonts w:ascii="Calibri" w:hAnsi="Calibri"/>
          <w:color w:val="000000"/>
          <w:sz w:val="22"/>
          <w:szCs w:val="22"/>
        </w:rPr>
        <w:t xml:space="preserve"> a n</w:t>
      </w:r>
      <w:r w:rsidR="008D48EA" w:rsidRPr="00412A49">
        <w:rPr>
          <w:rFonts w:ascii="Calibri" w:hAnsi="Calibri"/>
          <w:color w:val="000000"/>
          <w:sz w:val="22"/>
          <w:szCs w:val="22"/>
        </w:rPr>
        <w:t xml:space="preserve">umber of prospective applicants, for example the students of the Tasmanian Legal Practice course, </w:t>
      </w:r>
      <w:r w:rsidR="00027757" w:rsidRPr="00412A49">
        <w:rPr>
          <w:rFonts w:ascii="Calibri" w:hAnsi="Calibri"/>
          <w:color w:val="000000"/>
          <w:sz w:val="22"/>
          <w:szCs w:val="22"/>
        </w:rPr>
        <w:t xml:space="preserve">to </w:t>
      </w:r>
      <w:r w:rsidR="00B957F2" w:rsidRPr="00412A49">
        <w:rPr>
          <w:rFonts w:ascii="Calibri" w:hAnsi="Calibri"/>
          <w:color w:val="000000"/>
          <w:sz w:val="22"/>
          <w:szCs w:val="22"/>
        </w:rPr>
        <w:t xml:space="preserve">place a notice of intention to apply for admission in the newspaper as a group, thereby sharing the cost.  This is acceptable, however, each applicant </w:t>
      </w:r>
      <w:r w:rsidR="00F4506C">
        <w:rPr>
          <w:rFonts w:ascii="Calibri" w:hAnsi="Calibri"/>
          <w:color w:val="000000"/>
          <w:sz w:val="22"/>
          <w:szCs w:val="22"/>
        </w:rPr>
        <w:t xml:space="preserve">should </w:t>
      </w:r>
      <w:r w:rsidR="00B957F2" w:rsidRPr="00412A49">
        <w:rPr>
          <w:rFonts w:ascii="Calibri" w:hAnsi="Calibri"/>
          <w:color w:val="000000"/>
          <w:sz w:val="22"/>
          <w:szCs w:val="22"/>
        </w:rPr>
        <w:t>highlight or u</w:t>
      </w:r>
      <w:r w:rsidR="00ED1B8B">
        <w:rPr>
          <w:rFonts w:ascii="Calibri" w:hAnsi="Calibri"/>
          <w:color w:val="000000"/>
          <w:sz w:val="22"/>
          <w:szCs w:val="22"/>
        </w:rPr>
        <w:t xml:space="preserve">nderline his or her name in the </w:t>
      </w:r>
      <w:r w:rsidR="00B957F2" w:rsidRPr="00412A49">
        <w:rPr>
          <w:rFonts w:ascii="Calibri" w:hAnsi="Calibri"/>
          <w:color w:val="000000"/>
          <w:sz w:val="22"/>
          <w:szCs w:val="22"/>
        </w:rPr>
        <w:t xml:space="preserve">notice annexed to his or her </w:t>
      </w:r>
      <w:r w:rsidR="00ED1B8B">
        <w:rPr>
          <w:rFonts w:ascii="Calibri" w:hAnsi="Calibri"/>
          <w:color w:val="000000"/>
          <w:sz w:val="22"/>
          <w:szCs w:val="22"/>
        </w:rPr>
        <w:t>affidavit</w:t>
      </w:r>
      <w:r w:rsidR="00B957F2" w:rsidRPr="00412A49">
        <w:rPr>
          <w:rFonts w:ascii="Calibri" w:hAnsi="Calibri"/>
          <w:color w:val="000000"/>
          <w:sz w:val="22"/>
          <w:szCs w:val="22"/>
        </w:rPr>
        <w:t xml:space="preserve">. </w:t>
      </w:r>
    </w:p>
    <w:p w:rsidR="00D12DDD" w:rsidRPr="00412A49" w:rsidRDefault="00D12DDD" w:rsidP="00D12DDD">
      <w:pPr>
        <w:overflowPunct/>
        <w:autoSpaceDE/>
        <w:autoSpaceDN/>
        <w:adjustRightInd/>
        <w:spacing w:line="360" w:lineRule="auto"/>
        <w:ind w:left="720"/>
        <w:textAlignment w:val="auto"/>
        <w:rPr>
          <w:rFonts w:ascii="Calibri" w:hAnsi="Calibri"/>
          <w:color w:val="000000"/>
          <w:sz w:val="22"/>
          <w:szCs w:val="22"/>
        </w:rPr>
      </w:pPr>
    </w:p>
    <w:p w:rsidR="008145B7" w:rsidRPr="00D12DDD" w:rsidRDefault="00B957F2" w:rsidP="00A36492">
      <w:pPr>
        <w:numPr>
          <w:ilvl w:val="0"/>
          <w:numId w:val="5"/>
        </w:numPr>
        <w:overflowPunct/>
        <w:autoSpaceDE/>
        <w:autoSpaceDN/>
        <w:adjustRightInd/>
        <w:spacing w:line="360" w:lineRule="auto"/>
        <w:textAlignment w:val="auto"/>
        <w:rPr>
          <w:rFonts w:ascii="Calibri" w:hAnsi="Calibri"/>
          <w:i/>
          <w:color w:val="000000"/>
          <w:sz w:val="24"/>
          <w:szCs w:val="24"/>
        </w:rPr>
      </w:pPr>
      <w:r w:rsidRPr="00ED1B8B">
        <w:rPr>
          <w:rFonts w:ascii="Calibri" w:hAnsi="Calibri"/>
          <w:b/>
          <w:i/>
          <w:color w:val="000000"/>
          <w:sz w:val="24"/>
          <w:szCs w:val="24"/>
        </w:rPr>
        <w:t>Supporting materials</w:t>
      </w:r>
      <w:r w:rsidR="00190AD3" w:rsidRPr="00ED1B8B">
        <w:rPr>
          <w:rFonts w:ascii="Calibri" w:hAnsi="Calibri"/>
          <w:b/>
          <w:i/>
          <w:color w:val="000000"/>
          <w:sz w:val="24"/>
          <w:szCs w:val="24"/>
        </w:rPr>
        <w:t>/ Evidence</w:t>
      </w:r>
      <w:r w:rsidRPr="00D12DDD">
        <w:rPr>
          <w:rFonts w:ascii="Calibri" w:hAnsi="Calibri"/>
          <w:i/>
          <w:color w:val="000000"/>
          <w:sz w:val="24"/>
          <w:szCs w:val="24"/>
        </w:rPr>
        <w:t xml:space="preserve">: </w:t>
      </w:r>
    </w:p>
    <w:p w:rsidR="00F4506C" w:rsidRDefault="008145B7" w:rsidP="008145B7">
      <w:pPr>
        <w:numPr>
          <w:ilvl w:val="0"/>
          <w:numId w:val="24"/>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As directed by rule 783AE(1)</w:t>
      </w:r>
      <w:r w:rsidR="001777D4" w:rsidRPr="00412A49">
        <w:rPr>
          <w:rFonts w:ascii="Calibri" w:hAnsi="Calibri"/>
          <w:color w:val="000000"/>
          <w:sz w:val="22"/>
          <w:szCs w:val="22"/>
        </w:rPr>
        <w:t xml:space="preserve"> of the </w:t>
      </w:r>
      <w:r w:rsidR="001777D4" w:rsidRPr="00412A49">
        <w:rPr>
          <w:rFonts w:ascii="Calibri" w:hAnsi="Calibri"/>
          <w:i/>
          <w:color w:val="000000"/>
          <w:sz w:val="22"/>
          <w:szCs w:val="22"/>
        </w:rPr>
        <w:t>Supreme Court Rules 2000</w:t>
      </w:r>
      <w:r w:rsidRPr="00412A49">
        <w:rPr>
          <w:rFonts w:ascii="Calibri" w:hAnsi="Calibri"/>
          <w:color w:val="000000"/>
          <w:sz w:val="22"/>
          <w:szCs w:val="22"/>
        </w:rPr>
        <w:t xml:space="preserve"> the application must be supported by affidavits and other documents being: </w:t>
      </w:r>
    </w:p>
    <w:p w:rsidR="00F4506C" w:rsidRDefault="008145B7" w:rsidP="0086060B">
      <w:pPr>
        <w:numPr>
          <w:ilvl w:val="1"/>
          <w:numId w:val="24"/>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an affidavit </w:t>
      </w:r>
      <w:r w:rsidR="00621CCC" w:rsidRPr="00412A49">
        <w:rPr>
          <w:rFonts w:ascii="Calibri" w:hAnsi="Calibri"/>
          <w:color w:val="000000"/>
          <w:sz w:val="22"/>
          <w:szCs w:val="22"/>
        </w:rPr>
        <w:t>in support of the application for admission</w:t>
      </w:r>
      <w:r w:rsidRPr="00412A49">
        <w:rPr>
          <w:rFonts w:ascii="Calibri" w:hAnsi="Calibri"/>
          <w:color w:val="000000"/>
          <w:sz w:val="22"/>
          <w:szCs w:val="22"/>
        </w:rPr>
        <w:t xml:space="preserve"> (see form 57BB of the</w:t>
      </w:r>
      <w:r w:rsidRPr="00412A49">
        <w:rPr>
          <w:rFonts w:ascii="Calibri" w:hAnsi="Calibri"/>
          <w:i/>
          <w:color w:val="000000"/>
          <w:sz w:val="22"/>
          <w:szCs w:val="22"/>
        </w:rPr>
        <w:t xml:space="preserve"> Supreme Court Forms Rules 2000)</w:t>
      </w:r>
      <w:r w:rsidRPr="00412A49">
        <w:rPr>
          <w:rFonts w:ascii="Calibri" w:hAnsi="Calibri"/>
          <w:color w:val="000000"/>
          <w:sz w:val="22"/>
          <w:szCs w:val="22"/>
        </w:rPr>
        <w:t xml:space="preserve"> including annexures; and</w:t>
      </w:r>
    </w:p>
    <w:p w:rsidR="008145B7" w:rsidRPr="00F4506C" w:rsidRDefault="008145B7" w:rsidP="0086060B">
      <w:pPr>
        <w:numPr>
          <w:ilvl w:val="1"/>
          <w:numId w:val="24"/>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 two affidavits as to character (see form 57BC of the</w:t>
      </w:r>
      <w:r w:rsidRPr="00412A49">
        <w:rPr>
          <w:rFonts w:ascii="Calibri" w:hAnsi="Calibri"/>
          <w:i/>
          <w:color w:val="000000"/>
          <w:sz w:val="22"/>
          <w:szCs w:val="22"/>
        </w:rPr>
        <w:t xml:space="preserve"> Supreme Court Forms Rules 2000)</w:t>
      </w:r>
      <w:r w:rsidRPr="00412A49">
        <w:rPr>
          <w:rFonts w:ascii="Calibri" w:hAnsi="Calibri"/>
          <w:color w:val="000000"/>
          <w:sz w:val="22"/>
          <w:szCs w:val="22"/>
        </w:rPr>
        <w:t xml:space="preserve"> made by “acceptable deponents” (as to which, see rule 783AA).</w:t>
      </w:r>
      <w:r w:rsidRPr="00F4506C">
        <w:rPr>
          <w:rFonts w:ascii="Calibri" w:hAnsi="Calibri"/>
          <w:color w:val="000000"/>
          <w:sz w:val="22"/>
          <w:szCs w:val="22"/>
        </w:rPr>
        <w:t xml:space="preserve"> More detailed information to assist applica</w:t>
      </w:r>
      <w:r w:rsidR="00581364" w:rsidRPr="00F4506C">
        <w:rPr>
          <w:rFonts w:ascii="Calibri" w:hAnsi="Calibri"/>
          <w:color w:val="000000"/>
          <w:sz w:val="22"/>
          <w:szCs w:val="22"/>
        </w:rPr>
        <w:t xml:space="preserve">nts to prepare their affidavits </w:t>
      </w:r>
      <w:r w:rsidRPr="00F4506C">
        <w:rPr>
          <w:rFonts w:ascii="Calibri" w:hAnsi="Calibri"/>
          <w:color w:val="000000"/>
          <w:sz w:val="22"/>
          <w:szCs w:val="22"/>
        </w:rPr>
        <w:t>and to select acceptable deponents is provided below</w:t>
      </w:r>
      <w:r w:rsidR="00A13377" w:rsidRPr="00F4506C">
        <w:rPr>
          <w:rFonts w:ascii="Calibri" w:hAnsi="Calibri"/>
          <w:color w:val="000000"/>
          <w:sz w:val="22"/>
          <w:szCs w:val="22"/>
        </w:rPr>
        <w:t xml:space="preserve"> </w:t>
      </w:r>
      <w:r w:rsidR="00F057C9" w:rsidRPr="00F4506C">
        <w:rPr>
          <w:rFonts w:ascii="Calibri" w:hAnsi="Calibri"/>
          <w:color w:val="000000"/>
          <w:sz w:val="22"/>
          <w:szCs w:val="22"/>
        </w:rPr>
        <w:t>under the headings</w:t>
      </w:r>
      <w:r w:rsidR="00A13377" w:rsidRPr="00F4506C">
        <w:rPr>
          <w:rFonts w:ascii="Calibri" w:hAnsi="Calibri"/>
          <w:color w:val="000000"/>
          <w:sz w:val="22"/>
          <w:szCs w:val="22"/>
        </w:rPr>
        <w:t xml:space="preserve"> “T</w:t>
      </w:r>
      <w:r w:rsidR="00581364" w:rsidRPr="00F4506C">
        <w:rPr>
          <w:rFonts w:ascii="Calibri" w:hAnsi="Calibri"/>
          <w:color w:val="000000"/>
          <w:sz w:val="22"/>
          <w:szCs w:val="22"/>
        </w:rPr>
        <w:t xml:space="preserve">he </w:t>
      </w:r>
      <w:r w:rsidR="00621CCC" w:rsidRPr="00F4506C">
        <w:rPr>
          <w:rFonts w:ascii="Calibri" w:hAnsi="Calibri"/>
          <w:color w:val="000000"/>
          <w:sz w:val="22"/>
          <w:szCs w:val="22"/>
        </w:rPr>
        <w:t>affidavit in support of the application for admission</w:t>
      </w:r>
      <w:r w:rsidR="00A13377" w:rsidRPr="00F4506C">
        <w:rPr>
          <w:rFonts w:ascii="Calibri" w:hAnsi="Calibri"/>
          <w:color w:val="000000"/>
          <w:sz w:val="22"/>
          <w:szCs w:val="22"/>
        </w:rPr>
        <w:t>” and “T</w:t>
      </w:r>
      <w:r w:rsidR="00581364" w:rsidRPr="00F4506C">
        <w:rPr>
          <w:rFonts w:ascii="Calibri" w:hAnsi="Calibri"/>
          <w:color w:val="000000"/>
          <w:sz w:val="22"/>
          <w:szCs w:val="22"/>
        </w:rPr>
        <w:t>he affidavit as to character”</w:t>
      </w:r>
      <w:r w:rsidRPr="00F4506C">
        <w:rPr>
          <w:rFonts w:ascii="Calibri" w:hAnsi="Calibri"/>
          <w:color w:val="000000"/>
          <w:sz w:val="22"/>
          <w:szCs w:val="22"/>
        </w:rPr>
        <w:t xml:space="preserve">.   </w:t>
      </w:r>
    </w:p>
    <w:p w:rsidR="008145B7" w:rsidRPr="00412A49" w:rsidRDefault="008145B7" w:rsidP="008145B7">
      <w:pPr>
        <w:numPr>
          <w:ilvl w:val="0"/>
          <w:numId w:val="2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Supporting </w:t>
      </w:r>
      <w:r w:rsidR="0036721E" w:rsidRPr="00412A49">
        <w:rPr>
          <w:rFonts w:ascii="Calibri" w:hAnsi="Calibri"/>
          <w:color w:val="000000"/>
          <w:sz w:val="22"/>
          <w:szCs w:val="22"/>
        </w:rPr>
        <w:t xml:space="preserve">affidavits may be </w:t>
      </w:r>
      <w:r w:rsidRPr="00412A49">
        <w:rPr>
          <w:rFonts w:ascii="Calibri" w:hAnsi="Calibri"/>
          <w:color w:val="000000"/>
          <w:sz w:val="22"/>
          <w:szCs w:val="22"/>
        </w:rPr>
        <w:t xml:space="preserve">lodged with the Court some time after the originating application has been filed, and </w:t>
      </w:r>
      <w:r w:rsidR="0037250D">
        <w:rPr>
          <w:rFonts w:ascii="Calibri" w:hAnsi="Calibri"/>
          <w:color w:val="000000"/>
          <w:sz w:val="22"/>
          <w:szCs w:val="22"/>
        </w:rPr>
        <w:t xml:space="preserve">after </w:t>
      </w:r>
      <w:r w:rsidRPr="00412A49">
        <w:rPr>
          <w:rFonts w:ascii="Calibri" w:hAnsi="Calibri"/>
          <w:color w:val="000000"/>
          <w:sz w:val="22"/>
          <w:szCs w:val="22"/>
        </w:rPr>
        <w:t xml:space="preserve">the notice of intention to apply for admission has been published, but in sufficient time to enable service to be effected prior to the required minimum period before the hearing of the application.  Service must take place not less than 14 days before the application is to be heard.  </w:t>
      </w:r>
    </w:p>
    <w:p w:rsidR="008145B7" w:rsidRDefault="008145B7" w:rsidP="008145B7">
      <w:pPr>
        <w:numPr>
          <w:ilvl w:val="0"/>
          <w:numId w:val="2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Applicants should bring one</w:t>
      </w:r>
      <w:r w:rsidR="00BA1602" w:rsidRPr="00412A49">
        <w:rPr>
          <w:rFonts w:ascii="Calibri" w:hAnsi="Calibri"/>
          <w:color w:val="000000"/>
          <w:sz w:val="22"/>
          <w:szCs w:val="22"/>
        </w:rPr>
        <w:t xml:space="preserve"> (1)</w:t>
      </w:r>
      <w:r w:rsidRPr="00412A49">
        <w:rPr>
          <w:rFonts w:ascii="Calibri" w:hAnsi="Calibri"/>
          <w:color w:val="000000"/>
          <w:sz w:val="22"/>
          <w:szCs w:val="22"/>
        </w:rPr>
        <w:t xml:space="preserve"> original and </w:t>
      </w:r>
      <w:r w:rsidR="00190AD3" w:rsidRPr="00412A49">
        <w:rPr>
          <w:rFonts w:ascii="Calibri" w:hAnsi="Calibri"/>
          <w:color w:val="000000"/>
          <w:sz w:val="22"/>
          <w:szCs w:val="22"/>
        </w:rPr>
        <w:t>four</w:t>
      </w:r>
      <w:r w:rsidR="00BA1602" w:rsidRPr="00412A49">
        <w:rPr>
          <w:rFonts w:ascii="Calibri" w:hAnsi="Calibri"/>
          <w:color w:val="000000"/>
          <w:sz w:val="22"/>
          <w:szCs w:val="22"/>
        </w:rPr>
        <w:t xml:space="preserve"> (</w:t>
      </w:r>
      <w:r w:rsidR="00CB304D" w:rsidRPr="00412A49">
        <w:rPr>
          <w:rFonts w:ascii="Calibri" w:hAnsi="Calibri"/>
          <w:color w:val="000000"/>
          <w:sz w:val="22"/>
          <w:szCs w:val="22"/>
        </w:rPr>
        <w:t>4</w:t>
      </w:r>
      <w:r w:rsidR="00BA1602" w:rsidRPr="00412A49">
        <w:rPr>
          <w:rFonts w:ascii="Calibri" w:hAnsi="Calibri"/>
          <w:color w:val="000000"/>
          <w:sz w:val="22"/>
          <w:szCs w:val="22"/>
        </w:rPr>
        <w:t>)</w:t>
      </w:r>
      <w:r w:rsidRPr="00412A49">
        <w:rPr>
          <w:rFonts w:ascii="Calibri" w:hAnsi="Calibri"/>
          <w:color w:val="000000"/>
          <w:sz w:val="22"/>
          <w:szCs w:val="22"/>
        </w:rPr>
        <w:t xml:space="preserve"> copies of the supporting </w:t>
      </w:r>
      <w:r w:rsidR="0036721E" w:rsidRPr="00412A49">
        <w:rPr>
          <w:rFonts w:ascii="Calibri" w:hAnsi="Calibri"/>
          <w:color w:val="000000"/>
          <w:sz w:val="22"/>
          <w:szCs w:val="22"/>
        </w:rPr>
        <w:t xml:space="preserve">affidavits </w:t>
      </w:r>
      <w:r w:rsidRPr="00412A49">
        <w:rPr>
          <w:rFonts w:ascii="Calibri" w:hAnsi="Calibri"/>
          <w:color w:val="000000"/>
          <w:sz w:val="22"/>
          <w:szCs w:val="22"/>
        </w:rPr>
        <w:t>to th</w:t>
      </w:r>
      <w:r w:rsidR="005C38F8" w:rsidRPr="00412A49">
        <w:rPr>
          <w:rFonts w:ascii="Calibri" w:hAnsi="Calibri"/>
          <w:color w:val="000000"/>
          <w:sz w:val="22"/>
          <w:szCs w:val="22"/>
        </w:rPr>
        <w:t>e Court at the time of lodgment.  Of these</w:t>
      </w:r>
      <w:r w:rsidRPr="00412A49">
        <w:rPr>
          <w:rFonts w:ascii="Calibri" w:hAnsi="Calibri"/>
          <w:color w:val="000000"/>
          <w:sz w:val="22"/>
          <w:szCs w:val="22"/>
        </w:rPr>
        <w:t xml:space="preserve"> the original is stamped </w:t>
      </w:r>
      <w:r w:rsidRPr="00412A49">
        <w:rPr>
          <w:rFonts w:ascii="Calibri" w:hAnsi="Calibri"/>
          <w:color w:val="000000"/>
          <w:sz w:val="22"/>
          <w:szCs w:val="22"/>
        </w:rPr>
        <w:lastRenderedPageBreak/>
        <w:t xml:space="preserve">by registry staff and filed with the Court; two copies are stamped and returned to the applicant for service; </w:t>
      </w:r>
      <w:r w:rsidR="00CB304D" w:rsidRPr="00412A49">
        <w:rPr>
          <w:rFonts w:ascii="Calibri" w:hAnsi="Calibri"/>
          <w:color w:val="000000"/>
          <w:sz w:val="22"/>
          <w:szCs w:val="22"/>
        </w:rPr>
        <w:t xml:space="preserve">one copy is stamped and returned to the applicant to be provided to the legal practitioner moving the applicant’s admission; and </w:t>
      </w:r>
      <w:r w:rsidRPr="00412A49">
        <w:rPr>
          <w:rFonts w:ascii="Calibri" w:hAnsi="Calibri"/>
          <w:color w:val="000000"/>
          <w:sz w:val="22"/>
          <w:szCs w:val="22"/>
        </w:rPr>
        <w:t>one copy is stamped and retained by the applicant for his or her records.</w:t>
      </w:r>
    </w:p>
    <w:p w:rsidR="00572EFB" w:rsidRDefault="00572EFB" w:rsidP="00572EFB">
      <w:pPr>
        <w:overflowPunct/>
        <w:autoSpaceDE/>
        <w:autoSpaceDN/>
        <w:adjustRightInd/>
        <w:spacing w:line="360" w:lineRule="auto"/>
        <w:ind w:left="720"/>
        <w:textAlignment w:val="auto"/>
        <w:rPr>
          <w:rFonts w:ascii="Calibri" w:hAnsi="Calibri"/>
          <w:color w:val="000000"/>
          <w:sz w:val="22"/>
          <w:szCs w:val="22"/>
        </w:rPr>
      </w:pPr>
    </w:p>
    <w:p w:rsidR="005762FE" w:rsidRPr="00412A49" w:rsidRDefault="005762FE" w:rsidP="00572EFB">
      <w:pPr>
        <w:overflowPunct/>
        <w:autoSpaceDE/>
        <w:autoSpaceDN/>
        <w:adjustRightInd/>
        <w:spacing w:line="360" w:lineRule="auto"/>
        <w:ind w:left="720"/>
        <w:textAlignment w:val="auto"/>
        <w:rPr>
          <w:rFonts w:ascii="Calibri" w:hAnsi="Calibri"/>
          <w:color w:val="000000"/>
          <w:sz w:val="22"/>
          <w:szCs w:val="22"/>
        </w:rPr>
      </w:pPr>
    </w:p>
    <w:p w:rsidR="00984E26" w:rsidRPr="00ED1B8B" w:rsidRDefault="00075C67" w:rsidP="0073589B">
      <w:pPr>
        <w:numPr>
          <w:ilvl w:val="0"/>
          <w:numId w:val="5"/>
        </w:numPr>
        <w:overflowPunct/>
        <w:autoSpaceDE/>
        <w:autoSpaceDN/>
        <w:adjustRightInd/>
        <w:spacing w:line="360" w:lineRule="auto"/>
        <w:textAlignment w:val="auto"/>
        <w:rPr>
          <w:rFonts w:ascii="Calibri" w:hAnsi="Calibri"/>
          <w:b/>
          <w:i/>
          <w:color w:val="000000"/>
          <w:sz w:val="24"/>
          <w:szCs w:val="24"/>
        </w:rPr>
      </w:pPr>
      <w:r w:rsidRPr="00ED1B8B">
        <w:rPr>
          <w:rFonts w:ascii="Calibri" w:hAnsi="Calibri"/>
          <w:b/>
          <w:i/>
          <w:color w:val="000000"/>
          <w:sz w:val="24"/>
          <w:szCs w:val="24"/>
        </w:rPr>
        <w:t xml:space="preserve">Oath:  </w:t>
      </w:r>
    </w:p>
    <w:p w:rsidR="00984E26" w:rsidRPr="00412A49" w:rsidRDefault="00075C67" w:rsidP="00984E26">
      <w:pPr>
        <w:numPr>
          <w:ilvl w:val="0"/>
          <w:numId w:val="3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Section 34 of the Act provides that a person who applies for admission to the legal profession must take and subscribe an oath.  The form for the oath is given at form 57BG</w:t>
      </w:r>
      <w:r w:rsidR="004D3D53" w:rsidRPr="00412A49">
        <w:rPr>
          <w:rFonts w:ascii="Calibri" w:hAnsi="Calibri"/>
          <w:color w:val="000000"/>
          <w:sz w:val="22"/>
          <w:szCs w:val="22"/>
        </w:rPr>
        <w:t xml:space="preserve"> of the </w:t>
      </w:r>
      <w:r w:rsidR="004D3D53" w:rsidRPr="00412A49">
        <w:rPr>
          <w:rFonts w:ascii="Calibri" w:hAnsi="Calibri"/>
          <w:i/>
          <w:color w:val="000000"/>
          <w:sz w:val="22"/>
          <w:szCs w:val="22"/>
        </w:rPr>
        <w:t>Supreme Court Forms Rules 2000</w:t>
      </w:r>
      <w:r w:rsidRPr="00412A49">
        <w:rPr>
          <w:rFonts w:ascii="Calibri" w:hAnsi="Calibri"/>
          <w:color w:val="000000"/>
          <w:sz w:val="22"/>
          <w:szCs w:val="22"/>
        </w:rPr>
        <w:t xml:space="preserve">.  </w:t>
      </w:r>
    </w:p>
    <w:p w:rsidR="00984E26" w:rsidRPr="00412A49" w:rsidRDefault="00156946" w:rsidP="00984E26">
      <w:pPr>
        <w:numPr>
          <w:ilvl w:val="0"/>
          <w:numId w:val="3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w:t>
      </w:r>
      <w:r w:rsidR="00075C67" w:rsidRPr="00412A49">
        <w:rPr>
          <w:rFonts w:ascii="Calibri" w:hAnsi="Calibri"/>
          <w:color w:val="000000"/>
          <w:sz w:val="22"/>
          <w:szCs w:val="22"/>
        </w:rPr>
        <w:t xml:space="preserve">he oath </w:t>
      </w:r>
      <w:r w:rsidRPr="00412A49">
        <w:rPr>
          <w:rFonts w:ascii="Calibri" w:hAnsi="Calibri"/>
          <w:color w:val="000000"/>
          <w:sz w:val="22"/>
          <w:szCs w:val="22"/>
        </w:rPr>
        <w:t>is</w:t>
      </w:r>
      <w:r w:rsidR="00075C67" w:rsidRPr="00412A49">
        <w:rPr>
          <w:rFonts w:ascii="Calibri" w:hAnsi="Calibri"/>
          <w:color w:val="000000"/>
          <w:sz w:val="22"/>
          <w:szCs w:val="22"/>
        </w:rPr>
        <w:t xml:space="preserve"> </w:t>
      </w:r>
      <w:r w:rsidR="005D005C" w:rsidRPr="00412A49">
        <w:rPr>
          <w:rFonts w:ascii="Calibri" w:hAnsi="Calibri"/>
          <w:color w:val="000000"/>
          <w:sz w:val="22"/>
          <w:szCs w:val="22"/>
        </w:rPr>
        <w:t xml:space="preserve">lodged with the Court by the applicant prior to the date of the application.  As a matter of convenience this is usually done at the same time as the supporting materials are lodged with the Court.  </w:t>
      </w:r>
    </w:p>
    <w:p w:rsidR="00984E26" w:rsidRPr="00412A49" w:rsidRDefault="00984E26" w:rsidP="00984E26">
      <w:pPr>
        <w:numPr>
          <w:ilvl w:val="0"/>
          <w:numId w:val="3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Applicants should bring one (1) original and (1) copy of the Oath at the time of lodgment with the Court.  The original will be stamped and filed with the Court and the copy will be stamped and returned to the applicant for his or her records.</w:t>
      </w:r>
    </w:p>
    <w:p w:rsidR="00984E26" w:rsidRPr="00412A49" w:rsidRDefault="005D005C" w:rsidP="00984E26">
      <w:pPr>
        <w:numPr>
          <w:ilvl w:val="0"/>
          <w:numId w:val="31"/>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It should be noted that </w:t>
      </w:r>
      <w:r w:rsidR="009815F1" w:rsidRPr="00412A49">
        <w:rPr>
          <w:rFonts w:ascii="Calibri" w:hAnsi="Calibri"/>
          <w:color w:val="000000"/>
          <w:sz w:val="22"/>
          <w:szCs w:val="22"/>
        </w:rPr>
        <w:t>a jurat is not required on the oath (in other words it is not sworn</w:t>
      </w:r>
      <w:r w:rsidR="00F04D3A" w:rsidRPr="00412A49">
        <w:rPr>
          <w:rFonts w:ascii="Calibri" w:hAnsi="Calibri"/>
          <w:color w:val="000000"/>
          <w:sz w:val="22"/>
          <w:szCs w:val="22"/>
        </w:rPr>
        <w:t>/affirmed</w:t>
      </w:r>
      <w:r w:rsidR="009815F1" w:rsidRPr="00412A49">
        <w:rPr>
          <w:rFonts w:ascii="Calibri" w:hAnsi="Calibri"/>
          <w:color w:val="000000"/>
          <w:sz w:val="22"/>
          <w:szCs w:val="22"/>
        </w:rPr>
        <w:t xml:space="preserve"> before </w:t>
      </w:r>
      <w:r w:rsidR="00143E13">
        <w:rPr>
          <w:rFonts w:ascii="Calibri" w:hAnsi="Calibri"/>
          <w:color w:val="000000"/>
          <w:sz w:val="22"/>
          <w:szCs w:val="22"/>
        </w:rPr>
        <w:t>anyone prior to lodgment as an affidavit is</w:t>
      </w:r>
      <w:r w:rsidR="009815F1" w:rsidRPr="00412A49">
        <w:rPr>
          <w:rFonts w:ascii="Calibri" w:hAnsi="Calibri"/>
          <w:color w:val="000000"/>
          <w:sz w:val="22"/>
          <w:szCs w:val="22"/>
        </w:rPr>
        <w:t xml:space="preserve">) and </w:t>
      </w:r>
      <w:r w:rsidRPr="00412A49">
        <w:rPr>
          <w:rFonts w:ascii="Calibri" w:hAnsi="Calibri"/>
          <w:color w:val="000000"/>
          <w:sz w:val="22"/>
          <w:szCs w:val="22"/>
        </w:rPr>
        <w:t xml:space="preserve">the oath should be lodged with the court </w:t>
      </w:r>
      <w:r w:rsidRPr="00412A49">
        <w:rPr>
          <w:rFonts w:ascii="Calibri" w:hAnsi="Calibri"/>
          <w:b/>
          <w:color w:val="000000"/>
          <w:sz w:val="22"/>
          <w:szCs w:val="22"/>
        </w:rPr>
        <w:t>unsigned</w:t>
      </w:r>
      <w:r w:rsidR="009815F1" w:rsidRPr="00412A49">
        <w:rPr>
          <w:rFonts w:ascii="Calibri" w:hAnsi="Calibri"/>
          <w:color w:val="000000"/>
          <w:sz w:val="22"/>
          <w:szCs w:val="22"/>
        </w:rPr>
        <w:t>.</w:t>
      </w:r>
      <w:r w:rsidRPr="00412A49">
        <w:rPr>
          <w:rFonts w:ascii="Calibri" w:hAnsi="Calibri"/>
          <w:color w:val="000000"/>
          <w:sz w:val="22"/>
          <w:szCs w:val="22"/>
        </w:rPr>
        <w:t xml:space="preserve">  The oath is </w:t>
      </w:r>
      <w:r w:rsidR="009815F1" w:rsidRPr="00412A49">
        <w:rPr>
          <w:rFonts w:ascii="Calibri" w:hAnsi="Calibri"/>
          <w:color w:val="000000"/>
          <w:sz w:val="22"/>
          <w:szCs w:val="22"/>
        </w:rPr>
        <w:t xml:space="preserve">sworn/affirmed before the Court and </w:t>
      </w:r>
      <w:r w:rsidRPr="00412A49">
        <w:rPr>
          <w:rFonts w:ascii="Calibri" w:hAnsi="Calibri"/>
          <w:color w:val="000000"/>
          <w:sz w:val="22"/>
          <w:szCs w:val="22"/>
        </w:rPr>
        <w:t>signed</w:t>
      </w:r>
      <w:r w:rsidR="0086748A" w:rsidRPr="00412A49">
        <w:rPr>
          <w:rFonts w:ascii="Calibri" w:hAnsi="Calibri"/>
          <w:color w:val="000000"/>
          <w:sz w:val="22"/>
          <w:szCs w:val="22"/>
        </w:rPr>
        <w:t xml:space="preserve"> </w:t>
      </w:r>
      <w:r w:rsidR="00587EFE" w:rsidRPr="00412A49">
        <w:rPr>
          <w:rFonts w:ascii="Calibri" w:hAnsi="Calibri"/>
          <w:color w:val="000000"/>
          <w:sz w:val="22"/>
          <w:szCs w:val="22"/>
        </w:rPr>
        <w:t>during</w:t>
      </w:r>
      <w:r w:rsidR="0086748A" w:rsidRPr="00412A49">
        <w:rPr>
          <w:rFonts w:ascii="Calibri" w:hAnsi="Calibri"/>
          <w:color w:val="000000"/>
          <w:sz w:val="22"/>
          <w:szCs w:val="22"/>
        </w:rPr>
        <w:t xml:space="preserve"> the hearing of the application,</w:t>
      </w:r>
      <w:r w:rsidRPr="00412A49">
        <w:rPr>
          <w:rFonts w:ascii="Calibri" w:hAnsi="Calibri"/>
          <w:color w:val="000000"/>
          <w:sz w:val="22"/>
          <w:szCs w:val="22"/>
        </w:rPr>
        <w:t xml:space="preserve"> once the Court has </w:t>
      </w:r>
      <w:r w:rsidR="0086748A" w:rsidRPr="00412A49">
        <w:rPr>
          <w:rFonts w:ascii="Calibri" w:hAnsi="Calibri"/>
          <w:color w:val="000000"/>
          <w:sz w:val="22"/>
          <w:szCs w:val="22"/>
        </w:rPr>
        <w:t xml:space="preserve">found the person to have the qualifications and training required for admission and to be a fit and proper person for admission (see rule 783AJ of the </w:t>
      </w:r>
      <w:r w:rsidR="0086748A" w:rsidRPr="00412A49">
        <w:rPr>
          <w:rFonts w:ascii="Calibri" w:hAnsi="Calibri"/>
          <w:i/>
          <w:color w:val="000000"/>
          <w:sz w:val="22"/>
          <w:szCs w:val="22"/>
        </w:rPr>
        <w:t>Supreme Court Rules 2000</w:t>
      </w:r>
      <w:r w:rsidR="0086748A" w:rsidRPr="00412A49">
        <w:rPr>
          <w:rFonts w:ascii="Calibri" w:hAnsi="Calibri"/>
          <w:color w:val="000000"/>
          <w:sz w:val="22"/>
          <w:szCs w:val="22"/>
        </w:rPr>
        <w:t>)</w:t>
      </w:r>
      <w:r w:rsidRPr="00412A49">
        <w:rPr>
          <w:rFonts w:ascii="Calibri" w:hAnsi="Calibri"/>
          <w:color w:val="000000"/>
          <w:sz w:val="22"/>
          <w:szCs w:val="22"/>
        </w:rPr>
        <w:t xml:space="preserve">.  </w:t>
      </w:r>
    </w:p>
    <w:p w:rsidR="00075C67" w:rsidRPr="0064363D" w:rsidRDefault="005D005C" w:rsidP="00984E26">
      <w:pPr>
        <w:numPr>
          <w:ilvl w:val="0"/>
          <w:numId w:val="31"/>
        </w:numPr>
        <w:overflowPunct/>
        <w:autoSpaceDE/>
        <w:autoSpaceDN/>
        <w:adjustRightInd/>
        <w:spacing w:line="360" w:lineRule="auto"/>
        <w:textAlignment w:val="auto"/>
        <w:rPr>
          <w:rFonts w:ascii="Calibri" w:hAnsi="Calibri"/>
          <w:b/>
          <w:color w:val="000000"/>
          <w:sz w:val="22"/>
          <w:szCs w:val="22"/>
        </w:rPr>
      </w:pPr>
      <w:r w:rsidRPr="00412A49">
        <w:rPr>
          <w:rFonts w:ascii="Calibri" w:hAnsi="Calibri"/>
          <w:color w:val="000000"/>
          <w:sz w:val="22"/>
          <w:szCs w:val="22"/>
        </w:rPr>
        <w:t>The oath does not need to be served.</w:t>
      </w:r>
      <w:r w:rsidR="00E4129F" w:rsidRPr="00412A49">
        <w:rPr>
          <w:rFonts w:ascii="Calibri" w:hAnsi="Calibri"/>
          <w:color w:val="000000"/>
          <w:sz w:val="22"/>
          <w:szCs w:val="22"/>
        </w:rPr>
        <w:t xml:space="preserve">  </w:t>
      </w:r>
    </w:p>
    <w:p w:rsidR="0064363D" w:rsidRPr="00412A49" w:rsidRDefault="0064363D" w:rsidP="0064363D">
      <w:pPr>
        <w:overflowPunct/>
        <w:autoSpaceDE/>
        <w:autoSpaceDN/>
        <w:adjustRightInd/>
        <w:spacing w:line="360" w:lineRule="auto"/>
        <w:ind w:left="720"/>
        <w:textAlignment w:val="auto"/>
        <w:rPr>
          <w:rFonts w:ascii="Calibri" w:hAnsi="Calibri"/>
          <w:b/>
          <w:color w:val="000000"/>
          <w:sz w:val="22"/>
          <w:szCs w:val="22"/>
        </w:rPr>
      </w:pPr>
    </w:p>
    <w:p w:rsidR="0073589B" w:rsidRPr="00412A49" w:rsidRDefault="00B32D75" w:rsidP="0073589B">
      <w:pPr>
        <w:numPr>
          <w:ilvl w:val="0"/>
          <w:numId w:val="5"/>
        </w:numPr>
        <w:overflowPunct/>
        <w:autoSpaceDE/>
        <w:autoSpaceDN/>
        <w:adjustRightInd/>
        <w:spacing w:line="360" w:lineRule="auto"/>
        <w:textAlignment w:val="auto"/>
        <w:rPr>
          <w:rFonts w:ascii="Calibri" w:hAnsi="Calibri"/>
          <w:color w:val="000000"/>
          <w:sz w:val="22"/>
          <w:szCs w:val="22"/>
        </w:rPr>
      </w:pPr>
      <w:bookmarkStart w:id="0" w:name="GS34@EN"/>
      <w:bookmarkEnd w:id="0"/>
      <w:r w:rsidRPr="00334B8E">
        <w:rPr>
          <w:rFonts w:ascii="Calibri" w:hAnsi="Calibri"/>
          <w:b/>
          <w:i/>
          <w:color w:val="000000"/>
          <w:sz w:val="24"/>
          <w:szCs w:val="24"/>
        </w:rPr>
        <w:t>Service</w:t>
      </w:r>
      <w:r w:rsidRPr="00334B8E">
        <w:rPr>
          <w:rFonts w:ascii="Calibri" w:hAnsi="Calibri"/>
          <w:b/>
          <w:color w:val="000000"/>
          <w:sz w:val="22"/>
          <w:szCs w:val="22"/>
        </w:rPr>
        <w:t>:</w:t>
      </w:r>
      <w:r w:rsidRPr="00412A49">
        <w:rPr>
          <w:rFonts w:ascii="Calibri" w:hAnsi="Calibri"/>
          <w:color w:val="000000"/>
          <w:sz w:val="22"/>
          <w:szCs w:val="22"/>
        </w:rPr>
        <w:t xml:space="preserve"> </w:t>
      </w:r>
    </w:p>
    <w:p w:rsidR="00334B8E" w:rsidRDefault="00334B8E" w:rsidP="005E7BEB">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application and supporting material must be served on the Law Society of Tasmania and the Legal Profession Board in accordance with rule 783AD(2), not less than 14 days before the application is to be heard.  </w:t>
      </w:r>
    </w:p>
    <w:p w:rsidR="005E7BEB" w:rsidRPr="00412A49" w:rsidRDefault="005E7BEB" w:rsidP="005E7BEB">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documents to be served should be sealed copies (</w:t>
      </w:r>
      <w:r w:rsidR="0037250D">
        <w:rPr>
          <w:rFonts w:ascii="Calibri" w:hAnsi="Calibri"/>
          <w:color w:val="000000"/>
          <w:sz w:val="22"/>
          <w:szCs w:val="22"/>
        </w:rPr>
        <w:t xml:space="preserve">i.e. </w:t>
      </w:r>
      <w:r w:rsidRPr="00412A49">
        <w:rPr>
          <w:rFonts w:ascii="Calibri" w:hAnsi="Calibri"/>
          <w:color w:val="000000"/>
          <w:sz w:val="22"/>
          <w:szCs w:val="22"/>
        </w:rPr>
        <w:t xml:space="preserve">copies of the documents filed with the </w:t>
      </w:r>
      <w:r w:rsidR="00C05A1A" w:rsidRPr="00412A49">
        <w:rPr>
          <w:rFonts w:ascii="Calibri" w:hAnsi="Calibri"/>
          <w:color w:val="000000"/>
          <w:sz w:val="22"/>
          <w:szCs w:val="22"/>
        </w:rPr>
        <w:t>C</w:t>
      </w:r>
      <w:r w:rsidRPr="00412A49">
        <w:rPr>
          <w:rFonts w:ascii="Calibri" w:hAnsi="Calibri"/>
          <w:color w:val="000000"/>
          <w:sz w:val="22"/>
          <w:szCs w:val="22"/>
        </w:rPr>
        <w:t xml:space="preserve">ourt and stamped by the registry with the </w:t>
      </w:r>
      <w:r w:rsidR="00C05A1A" w:rsidRPr="00412A49">
        <w:rPr>
          <w:rFonts w:ascii="Calibri" w:hAnsi="Calibri"/>
          <w:color w:val="000000"/>
          <w:sz w:val="22"/>
          <w:szCs w:val="22"/>
        </w:rPr>
        <w:t>C</w:t>
      </w:r>
      <w:r w:rsidRPr="00412A49">
        <w:rPr>
          <w:rFonts w:ascii="Calibri" w:hAnsi="Calibri"/>
          <w:color w:val="000000"/>
          <w:sz w:val="22"/>
          <w:szCs w:val="22"/>
        </w:rPr>
        <w:t>ourt’s office seal)</w:t>
      </w:r>
      <w:r w:rsidR="00073823" w:rsidRPr="00412A49">
        <w:rPr>
          <w:rFonts w:ascii="Calibri" w:hAnsi="Calibri"/>
          <w:color w:val="000000"/>
          <w:sz w:val="22"/>
          <w:szCs w:val="22"/>
        </w:rPr>
        <w:t xml:space="preserve"> (see rule 132</w:t>
      </w:r>
      <w:r w:rsidR="00DF5C19" w:rsidRPr="00412A49">
        <w:rPr>
          <w:rFonts w:ascii="Calibri" w:hAnsi="Calibri"/>
          <w:color w:val="000000"/>
          <w:sz w:val="22"/>
          <w:szCs w:val="22"/>
        </w:rPr>
        <w:t xml:space="preserve"> of the </w:t>
      </w:r>
      <w:r w:rsidR="00073823" w:rsidRPr="00412A49">
        <w:rPr>
          <w:rFonts w:ascii="Calibri" w:hAnsi="Calibri"/>
          <w:i/>
          <w:color w:val="000000"/>
          <w:sz w:val="22"/>
          <w:szCs w:val="22"/>
        </w:rPr>
        <w:t>Supreme Court Rules 2000</w:t>
      </w:r>
      <w:r w:rsidR="00073823" w:rsidRPr="00412A49">
        <w:rPr>
          <w:rFonts w:ascii="Calibri" w:hAnsi="Calibri"/>
          <w:color w:val="000000"/>
          <w:sz w:val="22"/>
          <w:szCs w:val="22"/>
        </w:rPr>
        <w:t>)</w:t>
      </w:r>
      <w:r w:rsidRPr="00412A49">
        <w:rPr>
          <w:rFonts w:ascii="Calibri" w:hAnsi="Calibri"/>
          <w:color w:val="000000"/>
          <w:sz w:val="22"/>
          <w:szCs w:val="22"/>
        </w:rPr>
        <w:t>.</w:t>
      </w:r>
    </w:p>
    <w:p w:rsidR="005E7BEB" w:rsidRPr="00412A49" w:rsidRDefault="005E7BEB" w:rsidP="005E7BEB">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lastRenderedPageBreak/>
        <w:t>The documents should be served personally (</w:t>
      </w:r>
      <w:r w:rsidR="00073823" w:rsidRPr="00412A49">
        <w:rPr>
          <w:rFonts w:ascii="Calibri" w:hAnsi="Calibri"/>
          <w:color w:val="000000"/>
          <w:sz w:val="22"/>
          <w:szCs w:val="22"/>
        </w:rPr>
        <w:t xml:space="preserve">see </w:t>
      </w:r>
      <w:r w:rsidRPr="00412A49">
        <w:rPr>
          <w:rFonts w:ascii="Calibri" w:hAnsi="Calibri"/>
          <w:color w:val="000000"/>
          <w:sz w:val="22"/>
          <w:szCs w:val="22"/>
        </w:rPr>
        <w:t>rule 133</w:t>
      </w:r>
      <w:r w:rsidR="00DF5C19" w:rsidRPr="00412A49">
        <w:rPr>
          <w:rFonts w:ascii="Calibri" w:hAnsi="Calibri"/>
          <w:color w:val="000000"/>
          <w:sz w:val="22"/>
          <w:szCs w:val="22"/>
        </w:rPr>
        <w:t xml:space="preserve"> of the</w:t>
      </w:r>
      <w:r w:rsidRPr="00412A49">
        <w:rPr>
          <w:rFonts w:ascii="Calibri" w:hAnsi="Calibri"/>
          <w:color w:val="000000"/>
          <w:sz w:val="22"/>
          <w:szCs w:val="22"/>
        </w:rPr>
        <w:t xml:space="preserve"> </w:t>
      </w:r>
      <w:r w:rsidRPr="00412A49">
        <w:rPr>
          <w:rFonts w:ascii="Calibri" w:hAnsi="Calibri"/>
          <w:i/>
          <w:color w:val="000000"/>
          <w:sz w:val="22"/>
          <w:szCs w:val="22"/>
        </w:rPr>
        <w:t>Supreme Court Rules 2000</w:t>
      </w:r>
      <w:r w:rsidRPr="00412A49">
        <w:rPr>
          <w:rFonts w:ascii="Calibri" w:hAnsi="Calibri"/>
          <w:color w:val="000000"/>
          <w:sz w:val="22"/>
          <w:szCs w:val="22"/>
        </w:rPr>
        <w:t>) which can be done by delivery of the sealed copies of the document to the office</w:t>
      </w:r>
      <w:r w:rsidR="007E7C1B" w:rsidRPr="00412A49">
        <w:rPr>
          <w:rFonts w:ascii="Calibri" w:hAnsi="Calibri"/>
          <w:color w:val="000000"/>
          <w:sz w:val="22"/>
          <w:szCs w:val="22"/>
        </w:rPr>
        <w:t>s</w:t>
      </w:r>
      <w:r w:rsidRPr="00412A49">
        <w:rPr>
          <w:rFonts w:ascii="Calibri" w:hAnsi="Calibri"/>
          <w:color w:val="000000"/>
          <w:sz w:val="22"/>
          <w:szCs w:val="22"/>
        </w:rPr>
        <w:t xml:space="preserve"> of the Law Society of Tasmania and the Legal Profession Board</w:t>
      </w:r>
      <w:r w:rsidR="00073823" w:rsidRPr="00412A49">
        <w:rPr>
          <w:rFonts w:ascii="Calibri" w:hAnsi="Calibri"/>
          <w:color w:val="000000"/>
          <w:sz w:val="22"/>
          <w:szCs w:val="22"/>
        </w:rPr>
        <w:t xml:space="preserve"> (see rule 135 of the </w:t>
      </w:r>
      <w:r w:rsidR="00073823" w:rsidRPr="00412A49">
        <w:rPr>
          <w:rFonts w:ascii="Calibri" w:hAnsi="Calibri"/>
          <w:i/>
          <w:color w:val="000000"/>
          <w:sz w:val="22"/>
          <w:szCs w:val="22"/>
        </w:rPr>
        <w:t>Supreme Court Rules 2000</w:t>
      </w:r>
      <w:r w:rsidR="00073823" w:rsidRPr="00412A49">
        <w:rPr>
          <w:rFonts w:ascii="Calibri" w:hAnsi="Calibri"/>
          <w:color w:val="000000"/>
          <w:sz w:val="22"/>
          <w:szCs w:val="22"/>
        </w:rPr>
        <w:t>).</w:t>
      </w:r>
    </w:p>
    <w:p w:rsidR="00D31085" w:rsidRDefault="00722584" w:rsidP="005E7BEB">
      <w:pPr>
        <w:numPr>
          <w:ilvl w:val="0"/>
          <w:numId w:val="10"/>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w:t>
      </w:r>
      <w:r w:rsidR="00957659" w:rsidRPr="00412A49">
        <w:rPr>
          <w:rFonts w:ascii="Calibri" w:hAnsi="Calibri"/>
          <w:color w:val="000000"/>
          <w:sz w:val="22"/>
          <w:szCs w:val="22"/>
        </w:rPr>
        <w:t xml:space="preserve">n </w:t>
      </w:r>
      <w:r w:rsidR="00330F6C" w:rsidRPr="00412A49">
        <w:rPr>
          <w:rFonts w:ascii="Calibri" w:hAnsi="Calibri"/>
          <w:color w:val="000000"/>
          <w:sz w:val="22"/>
          <w:szCs w:val="22"/>
        </w:rPr>
        <w:t xml:space="preserve">officer </w:t>
      </w:r>
      <w:r w:rsidR="00957659" w:rsidRPr="00412A49">
        <w:rPr>
          <w:rFonts w:ascii="Calibri" w:hAnsi="Calibri"/>
          <w:color w:val="000000"/>
          <w:sz w:val="22"/>
          <w:szCs w:val="22"/>
        </w:rPr>
        <w:t xml:space="preserve">of the Law Society and the Legal Profession Board </w:t>
      </w:r>
      <w:r w:rsidR="00C05A1A" w:rsidRPr="00412A49">
        <w:rPr>
          <w:rFonts w:ascii="Calibri" w:hAnsi="Calibri"/>
          <w:color w:val="000000"/>
          <w:sz w:val="22"/>
          <w:szCs w:val="22"/>
        </w:rPr>
        <w:t xml:space="preserve">should be asked to </w:t>
      </w:r>
      <w:r w:rsidR="00957659" w:rsidRPr="00412A49">
        <w:rPr>
          <w:rFonts w:ascii="Calibri" w:hAnsi="Calibri"/>
          <w:color w:val="000000"/>
          <w:sz w:val="22"/>
          <w:szCs w:val="22"/>
        </w:rPr>
        <w:t>sign an acknowledgement of receipt of the documents at the time that the documents are delivered.</w:t>
      </w:r>
      <w:r w:rsidR="00F769B7" w:rsidRPr="00412A49">
        <w:rPr>
          <w:rFonts w:ascii="Calibri" w:hAnsi="Calibri"/>
          <w:color w:val="000000"/>
          <w:sz w:val="22"/>
          <w:szCs w:val="22"/>
        </w:rPr>
        <w:t xml:space="preserve"> This acknowledgement will be annexed to the Affidavit of Service.</w:t>
      </w:r>
    </w:p>
    <w:p w:rsidR="00B47B1C" w:rsidRPr="00412A49" w:rsidRDefault="00B47B1C" w:rsidP="00B47B1C">
      <w:pPr>
        <w:overflowPunct/>
        <w:autoSpaceDE/>
        <w:autoSpaceDN/>
        <w:adjustRightInd/>
        <w:spacing w:line="360" w:lineRule="auto"/>
        <w:ind w:left="1080"/>
        <w:textAlignment w:val="auto"/>
        <w:rPr>
          <w:rFonts w:ascii="Calibri" w:hAnsi="Calibri"/>
          <w:color w:val="000000"/>
          <w:sz w:val="22"/>
          <w:szCs w:val="22"/>
        </w:rPr>
      </w:pPr>
    </w:p>
    <w:p w:rsidR="00F4506C" w:rsidRPr="0086060B" w:rsidRDefault="00775834" w:rsidP="0073589B">
      <w:pPr>
        <w:numPr>
          <w:ilvl w:val="0"/>
          <w:numId w:val="5"/>
        </w:numPr>
        <w:overflowPunct/>
        <w:autoSpaceDE/>
        <w:autoSpaceDN/>
        <w:adjustRightInd/>
        <w:spacing w:line="360" w:lineRule="auto"/>
        <w:textAlignment w:val="auto"/>
        <w:rPr>
          <w:rFonts w:ascii="Calibri" w:hAnsi="Calibri"/>
          <w:color w:val="000000"/>
          <w:sz w:val="22"/>
          <w:szCs w:val="22"/>
          <w:u w:val="single"/>
        </w:rPr>
      </w:pPr>
      <w:r w:rsidRPr="00C93194">
        <w:rPr>
          <w:rFonts w:ascii="Calibri" w:hAnsi="Calibri"/>
          <w:b/>
          <w:i/>
          <w:color w:val="000000"/>
          <w:sz w:val="24"/>
          <w:szCs w:val="24"/>
        </w:rPr>
        <w:t>Provision of papers</w:t>
      </w:r>
      <w:r w:rsidRPr="00412A49">
        <w:rPr>
          <w:rFonts w:ascii="Calibri" w:hAnsi="Calibri"/>
          <w:color w:val="000000"/>
          <w:sz w:val="22"/>
          <w:szCs w:val="22"/>
        </w:rPr>
        <w:t xml:space="preserve">: </w:t>
      </w:r>
    </w:p>
    <w:p w:rsidR="00775834" w:rsidRPr="002C2566" w:rsidRDefault="00B47B1C" w:rsidP="0086060B">
      <w:pPr>
        <w:overflowPunct/>
        <w:autoSpaceDE/>
        <w:autoSpaceDN/>
        <w:adjustRightInd/>
        <w:spacing w:line="360" w:lineRule="auto"/>
        <w:ind w:left="360"/>
        <w:textAlignment w:val="auto"/>
        <w:rPr>
          <w:rFonts w:ascii="Calibri" w:hAnsi="Calibri"/>
          <w:color w:val="000000"/>
          <w:sz w:val="22"/>
          <w:szCs w:val="22"/>
          <w:u w:val="single"/>
        </w:rPr>
      </w:pPr>
      <w:r>
        <w:rPr>
          <w:rFonts w:ascii="Calibri" w:hAnsi="Calibri"/>
          <w:color w:val="000000"/>
          <w:sz w:val="22"/>
          <w:szCs w:val="22"/>
        </w:rPr>
        <w:t>If a legal practitioner is moving your admission for you then y</w:t>
      </w:r>
      <w:r w:rsidR="00775834" w:rsidRPr="00412A49">
        <w:rPr>
          <w:rFonts w:ascii="Calibri" w:hAnsi="Calibri"/>
          <w:color w:val="000000"/>
          <w:sz w:val="22"/>
          <w:szCs w:val="22"/>
        </w:rPr>
        <w:t xml:space="preserve">ou should provide </w:t>
      </w:r>
      <w:r>
        <w:rPr>
          <w:rFonts w:ascii="Calibri" w:hAnsi="Calibri"/>
          <w:color w:val="000000"/>
          <w:sz w:val="22"/>
          <w:szCs w:val="22"/>
        </w:rPr>
        <w:t>him or her</w:t>
      </w:r>
      <w:r w:rsidR="00775834" w:rsidRPr="00412A49">
        <w:rPr>
          <w:rFonts w:ascii="Calibri" w:hAnsi="Calibri"/>
          <w:color w:val="000000"/>
          <w:sz w:val="22"/>
          <w:szCs w:val="22"/>
        </w:rPr>
        <w:t xml:space="preserve"> w</w:t>
      </w:r>
      <w:r>
        <w:rPr>
          <w:rFonts w:ascii="Calibri" w:hAnsi="Calibri"/>
          <w:color w:val="000000"/>
          <w:sz w:val="22"/>
          <w:szCs w:val="22"/>
        </w:rPr>
        <w:t xml:space="preserve">ith a copy of your application and </w:t>
      </w:r>
      <w:r w:rsidR="00775834" w:rsidRPr="00412A49">
        <w:rPr>
          <w:rFonts w:ascii="Calibri" w:hAnsi="Calibri"/>
          <w:color w:val="000000"/>
          <w:sz w:val="22"/>
          <w:szCs w:val="22"/>
        </w:rPr>
        <w:t>the supporting materials</w:t>
      </w:r>
      <w:r w:rsidR="002C2566" w:rsidRPr="00FC1100">
        <w:rPr>
          <w:rFonts w:ascii="Calibri" w:hAnsi="Calibri"/>
          <w:color w:val="000000"/>
          <w:sz w:val="22"/>
          <w:szCs w:val="22"/>
        </w:rPr>
        <w:t>.</w:t>
      </w:r>
    </w:p>
    <w:p w:rsidR="002C2566" w:rsidRPr="00412A49" w:rsidRDefault="002C2566" w:rsidP="002C2566">
      <w:pPr>
        <w:overflowPunct/>
        <w:autoSpaceDE/>
        <w:autoSpaceDN/>
        <w:adjustRightInd/>
        <w:spacing w:line="360" w:lineRule="auto"/>
        <w:ind w:left="360"/>
        <w:textAlignment w:val="auto"/>
        <w:rPr>
          <w:rFonts w:ascii="Calibri" w:hAnsi="Calibri"/>
          <w:color w:val="000000"/>
          <w:sz w:val="22"/>
          <w:szCs w:val="22"/>
          <w:u w:val="single"/>
        </w:rPr>
      </w:pPr>
    </w:p>
    <w:p w:rsidR="00430019" w:rsidRPr="00412A49" w:rsidRDefault="00430019" w:rsidP="0073589B">
      <w:pPr>
        <w:numPr>
          <w:ilvl w:val="0"/>
          <w:numId w:val="5"/>
        </w:numPr>
        <w:overflowPunct/>
        <w:autoSpaceDE/>
        <w:autoSpaceDN/>
        <w:adjustRightInd/>
        <w:spacing w:line="360" w:lineRule="auto"/>
        <w:textAlignment w:val="auto"/>
        <w:rPr>
          <w:rFonts w:ascii="Calibri" w:hAnsi="Calibri"/>
          <w:color w:val="000000"/>
          <w:sz w:val="22"/>
          <w:szCs w:val="22"/>
          <w:u w:val="single"/>
        </w:rPr>
      </w:pPr>
      <w:r w:rsidRPr="00C93194">
        <w:rPr>
          <w:rFonts w:ascii="Calibri" w:hAnsi="Calibri"/>
          <w:b/>
          <w:i/>
          <w:color w:val="000000"/>
          <w:sz w:val="24"/>
          <w:szCs w:val="24"/>
        </w:rPr>
        <w:t>A</w:t>
      </w:r>
      <w:r w:rsidR="00875AFE" w:rsidRPr="00C93194">
        <w:rPr>
          <w:rFonts w:ascii="Calibri" w:hAnsi="Calibri"/>
          <w:b/>
          <w:i/>
          <w:color w:val="000000"/>
          <w:sz w:val="24"/>
          <w:szCs w:val="24"/>
        </w:rPr>
        <w:t>ffidavit</w:t>
      </w:r>
      <w:r w:rsidR="0073589B" w:rsidRPr="00C93194">
        <w:rPr>
          <w:rFonts w:ascii="Calibri" w:hAnsi="Calibri"/>
          <w:b/>
          <w:i/>
          <w:color w:val="000000"/>
          <w:sz w:val="24"/>
          <w:szCs w:val="24"/>
        </w:rPr>
        <w:t xml:space="preserve"> of service</w:t>
      </w:r>
      <w:r w:rsidRPr="00D15753">
        <w:rPr>
          <w:rFonts w:ascii="Calibri" w:hAnsi="Calibri"/>
          <w:color w:val="000000"/>
          <w:sz w:val="22"/>
          <w:szCs w:val="22"/>
        </w:rPr>
        <w:t xml:space="preserve">: </w:t>
      </w:r>
      <w:r w:rsidRPr="00412A49">
        <w:rPr>
          <w:rFonts w:ascii="Calibri" w:hAnsi="Calibri"/>
          <w:color w:val="000000"/>
          <w:sz w:val="22"/>
          <w:szCs w:val="22"/>
          <w:u w:val="single"/>
        </w:rPr>
        <w:t xml:space="preserve"> </w:t>
      </w:r>
    </w:p>
    <w:p w:rsidR="0073589B" w:rsidRPr="00412A49" w:rsidRDefault="00430019" w:rsidP="00430019">
      <w:pPr>
        <w:numPr>
          <w:ilvl w:val="0"/>
          <w:numId w:val="25"/>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An affidavit of service</w:t>
      </w:r>
      <w:r w:rsidR="0073589B" w:rsidRPr="00412A49">
        <w:rPr>
          <w:rFonts w:ascii="Calibri" w:hAnsi="Calibri"/>
          <w:color w:val="000000"/>
          <w:sz w:val="22"/>
          <w:szCs w:val="22"/>
        </w:rPr>
        <w:t xml:space="preserve"> (see form 57BF</w:t>
      </w:r>
      <w:r w:rsidR="009A42FE" w:rsidRPr="00412A49">
        <w:rPr>
          <w:rFonts w:ascii="Calibri" w:hAnsi="Calibri"/>
          <w:color w:val="000000"/>
          <w:sz w:val="22"/>
          <w:szCs w:val="22"/>
        </w:rPr>
        <w:t xml:space="preserve"> of the Supreme Court Forms Rules 2000</w:t>
      </w:r>
      <w:r w:rsidR="0073589B" w:rsidRPr="00412A49">
        <w:rPr>
          <w:rFonts w:ascii="Calibri" w:hAnsi="Calibri"/>
          <w:color w:val="000000"/>
          <w:sz w:val="22"/>
          <w:szCs w:val="22"/>
        </w:rPr>
        <w:t>) on the Law Society of Tasmania and the Legal Profession Board must be</w:t>
      </w:r>
      <w:r w:rsidR="002A5793" w:rsidRPr="00412A49">
        <w:rPr>
          <w:rFonts w:ascii="Calibri" w:hAnsi="Calibri"/>
          <w:color w:val="000000"/>
          <w:sz w:val="22"/>
          <w:szCs w:val="22"/>
        </w:rPr>
        <w:t xml:space="preserve"> </w:t>
      </w:r>
      <w:r w:rsidR="0073589B" w:rsidRPr="00412A49">
        <w:rPr>
          <w:rFonts w:ascii="Calibri" w:hAnsi="Calibri"/>
          <w:color w:val="000000"/>
          <w:sz w:val="22"/>
          <w:szCs w:val="22"/>
        </w:rPr>
        <w:t xml:space="preserve">filed with the Court not less than 7 days before the application is to be heard in accordance with rule 783AH of the </w:t>
      </w:r>
      <w:r w:rsidR="0073589B" w:rsidRPr="00412A49">
        <w:rPr>
          <w:rFonts w:ascii="Calibri" w:hAnsi="Calibri"/>
          <w:i/>
          <w:color w:val="000000"/>
          <w:sz w:val="22"/>
          <w:szCs w:val="22"/>
        </w:rPr>
        <w:t>Supreme Court Rules 2000</w:t>
      </w:r>
      <w:r w:rsidR="0073589B" w:rsidRPr="00412A49">
        <w:rPr>
          <w:rFonts w:ascii="Calibri" w:hAnsi="Calibri"/>
          <w:color w:val="000000"/>
          <w:sz w:val="22"/>
          <w:szCs w:val="22"/>
        </w:rPr>
        <w:t xml:space="preserve">. </w:t>
      </w:r>
    </w:p>
    <w:p w:rsidR="00430019" w:rsidRPr="00412A49" w:rsidRDefault="00430019" w:rsidP="00430019">
      <w:pPr>
        <w:numPr>
          <w:ilvl w:val="0"/>
          <w:numId w:val="25"/>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affidavit of service </w:t>
      </w:r>
      <w:r w:rsidR="00C05A1A" w:rsidRPr="00412A49">
        <w:rPr>
          <w:rFonts w:ascii="Calibri" w:hAnsi="Calibri"/>
          <w:color w:val="000000"/>
          <w:sz w:val="22"/>
          <w:szCs w:val="22"/>
        </w:rPr>
        <w:t xml:space="preserve">should </w:t>
      </w:r>
      <w:r w:rsidRPr="00412A49">
        <w:rPr>
          <w:rFonts w:ascii="Calibri" w:hAnsi="Calibri"/>
          <w:color w:val="000000"/>
          <w:sz w:val="22"/>
          <w:szCs w:val="22"/>
        </w:rPr>
        <w:t>have two</w:t>
      </w:r>
      <w:r w:rsidR="00C80954" w:rsidRPr="00412A49">
        <w:rPr>
          <w:rFonts w:ascii="Calibri" w:hAnsi="Calibri"/>
          <w:color w:val="000000"/>
          <w:sz w:val="22"/>
          <w:szCs w:val="22"/>
        </w:rPr>
        <w:t xml:space="preserve"> signed</w:t>
      </w:r>
      <w:r w:rsidRPr="00412A49">
        <w:rPr>
          <w:rFonts w:ascii="Calibri" w:hAnsi="Calibri"/>
          <w:color w:val="000000"/>
          <w:sz w:val="22"/>
          <w:szCs w:val="22"/>
        </w:rPr>
        <w:t xml:space="preserve"> acknowledgments of service annexed to it: one from the Law Society and one from the Legal Profession Board.</w:t>
      </w:r>
    </w:p>
    <w:p w:rsidR="00430019" w:rsidRDefault="00430019" w:rsidP="00430019">
      <w:pPr>
        <w:numPr>
          <w:ilvl w:val="0"/>
          <w:numId w:val="25"/>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One (1) original and </w:t>
      </w:r>
      <w:r w:rsidR="009A42FE" w:rsidRPr="00412A49">
        <w:rPr>
          <w:rFonts w:ascii="Calibri" w:hAnsi="Calibri"/>
          <w:color w:val="000000"/>
          <w:sz w:val="22"/>
          <w:szCs w:val="22"/>
        </w:rPr>
        <w:t>two</w:t>
      </w:r>
      <w:r w:rsidRPr="00412A49">
        <w:rPr>
          <w:rFonts w:ascii="Calibri" w:hAnsi="Calibri"/>
          <w:color w:val="000000"/>
          <w:sz w:val="22"/>
          <w:szCs w:val="22"/>
        </w:rPr>
        <w:t xml:space="preserve"> (</w:t>
      </w:r>
      <w:r w:rsidR="009A42FE" w:rsidRPr="00412A49">
        <w:rPr>
          <w:rFonts w:ascii="Calibri" w:hAnsi="Calibri"/>
          <w:color w:val="000000"/>
          <w:sz w:val="22"/>
          <w:szCs w:val="22"/>
        </w:rPr>
        <w:t>2) copies</w:t>
      </w:r>
      <w:r w:rsidRPr="00412A49">
        <w:rPr>
          <w:rFonts w:ascii="Calibri" w:hAnsi="Calibri"/>
          <w:color w:val="000000"/>
          <w:sz w:val="22"/>
          <w:szCs w:val="22"/>
        </w:rPr>
        <w:t xml:space="preserve"> of the affidavit of service must be taken to the Court registry at the time of lodgment.  Of these one will be stamped by registry staff and filed in the Court</w:t>
      </w:r>
      <w:r w:rsidR="009A42FE" w:rsidRPr="00412A49">
        <w:rPr>
          <w:rFonts w:ascii="Calibri" w:hAnsi="Calibri"/>
          <w:color w:val="000000"/>
          <w:sz w:val="22"/>
          <w:szCs w:val="22"/>
        </w:rPr>
        <w:t xml:space="preserve">, one copy </w:t>
      </w:r>
      <w:r w:rsidR="00C05A1A" w:rsidRPr="00412A49">
        <w:rPr>
          <w:rFonts w:ascii="Calibri" w:hAnsi="Calibri"/>
          <w:color w:val="000000"/>
          <w:sz w:val="22"/>
          <w:szCs w:val="22"/>
        </w:rPr>
        <w:t xml:space="preserve">will be </w:t>
      </w:r>
      <w:r w:rsidR="009A42FE" w:rsidRPr="00412A49">
        <w:rPr>
          <w:rFonts w:ascii="Calibri" w:hAnsi="Calibri"/>
          <w:color w:val="000000"/>
          <w:sz w:val="22"/>
          <w:szCs w:val="22"/>
        </w:rPr>
        <w:t>stamped and returned to the applicant to be provided to the legal practitioner moving the applicant’s admission</w:t>
      </w:r>
      <w:r w:rsidRPr="00412A49">
        <w:rPr>
          <w:rFonts w:ascii="Calibri" w:hAnsi="Calibri"/>
          <w:color w:val="000000"/>
          <w:sz w:val="22"/>
          <w:szCs w:val="22"/>
        </w:rPr>
        <w:t xml:space="preserve"> and the remaining copy will be stamped by registry staff and retained by the applicant for their records. </w:t>
      </w:r>
    </w:p>
    <w:p w:rsidR="00775834" w:rsidRPr="00412A49" w:rsidRDefault="00775834" w:rsidP="00AF506C">
      <w:pPr>
        <w:overflowPunct/>
        <w:autoSpaceDE/>
        <w:autoSpaceDN/>
        <w:adjustRightInd/>
        <w:spacing w:line="360" w:lineRule="auto"/>
        <w:ind w:left="360"/>
        <w:textAlignment w:val="auto"/>
        <w:rPr>
          <w:rFonts w:ascii="Calibri" w:hAnsi="Calibri"/>
          <w:b/>
          <w:color w:val="000000"/>
          <w:sz w:val="22"/>
          <w:szCs w:val="22"/>
        </w:rPr>
      </w:pPr>
    </w:p>
    <w:p w:rsidR="000F18DB" w:rsidRPr="0086060B" w:rsidRDefault="00AF506C" w:rsidP="008F33C2">
      <w:pPr>
        <w:numPr>
          <w:ilvl w:val="0"/>
          <w:numId w:val="5"/>
        </w:numPr>
        <w:overflowPunct/>
        <w:autoSpaceDE/>
        <w:autoSpaceDN/>
        <w:adjustRightInd/>
        <w:spacing w:line="360" w:lineRule="auto"/>
        <w:textAlignment w:val="auto"/>
        <w:rPr>
          <w:rFonts w:ascii="Calibri" w:hAnsi="Calibri"/>
          <w:color w:val="000000"/>
          <w:sz w:val="22"/>
          <w:szCs w:val="22"/>
          <w:u w:val="single"/>
        </w:rPr>
      </w:pPr>
      <w:r w:rsidRPr="00C93194">
        <w:rPr>
          <w:rFonts w:ascii="Calibri" w:hAnsi="Calibri"/>
          <w:b/>
          <w:i/>
          <w:color w:val="000000"/>
          <w:sz w:val="24"/>
          <w:szCs w:val="24"/>
        </w:rPr>
        <w:t>Additional material or evidence</w:t>
      </w:r>
      <w:r w:rsidRPr="007C5F9B">
        <w:rPr>
          <w:rFonts w:ascii="Calibri" w:hAnsi="Calibri"/>
          <w:color w:val="000000"/>
          <w:sz w:val="22"/>
          <w:szCs w:val="22"/>
        </w:rPr>
        <w:t xml:space="preserve">: </w:t>
      </w:r>
    </w:p>
    <w:p w:rsidR="00AF506C" w:rsidRPr="007C5F9B" w:rsidRDefault="00AF506C" w:rsidP="0086060B">
      <w:pPr>
        <w:overflowPunct/>
        <w:autoSpaceDE/>
        <w:autoSpaceDN/>
        <w:adjustRightInd/>
        <w:spacing w:line="360" w:lineRule="auto"/>
        <w:ind w:left="360"/>
        <w:textAlignment w:val="auto"/>
        <w:rPr>
          <w:rFonts w:ascii="Calibri" w:hAnsi="Calibri"/>
          <w:color w:val="000000"/>
          <w:sz w:val="22"/>
          <w:szCs w:val="22"/>
          <w:u w:val="single"/>
        </w:rPr>
      </w:pPr>
      <w:r>
        <w:rPr>
          <w:rFonts w:ascii="Calibri" w:hAnsi="Calibri"/>
          <w:color w:val="000000"/>
          <w:sz w:val="22"/>
          <w:szCs w:val="22"/>
        </w:rPr>
        <w:t>The Judge hearing the application for admission may require the applicant to provide additional evidence, by affidavit or orally.</w:t>
      </w:r>
    </w:p>
    <w:p w:rsidR="007C5F9B" w:rsidRPr="00AF506C" w:rsidRDefault="007C5F9B" w:rsidP="007C5F9B">
      <w:pPr>
        <w:overflowPunct/>
        <w:autoSpaceDE/>
        <w:autoSpaceDN/>
        <w:adjustRightInd/>
        <w:spacing w:line="360" w:lineRule="auto"/>
        <w:ind w:left="360"/>
        <w:textAlignment w:val="auto"/>
        <w:rPr>
          <w:rFonts w:ascii="Calibri" w:hAnsi="Calibri"/>
          <w:color w:val="000000"/>
          <w:sz w:val="22"/>
          <w:szCs w:val="22"/>
          <w:u w:val="single"/>
        </w:rPr>
      </w:pPr>
    </w:p>
    <w:p w:rsidR="005D6842" w:rsidRPr="007C5F9B" w:rsidRDefault="001740AA" w:rsidP="008F33C2">
      <w:pPr>
        <w:numPr>
          <w:ilvl w:val="0"/>
          <w:numId w:val="5"/>
        </w:numPr>
        <w:overflowPunct/>
        <w:autoSpaceDE/>
        <w:autoSpaceDN/>
        <w:adjustRightInd/>
        <w:spacing w:line="360" w:lineRule="auto"/>
        <w:textAlignment w:val="auto"/>
        <w:rPr>
          <w:rFonts w:ascii="Calibri" w:hAnsi="Calibri"/>
          <w:i/>
          <w:color w:val="000000"/>
          <w:sz w:val="24"/>
          <w:szCs w:val="24"/>
        </w:rPr>
      </w:pPr>
      <w:r w:rsidRPr="00C93194">
        <w:rPr>
          <w:rFonts w:ascii="Calibri" w:hAnsi="Calibri"/>
          <w:b/>
          <w:color w:val="000000"/>
          <w:sz w:val="22"/>
          <w:szCs w:val="22"/>
        </w:rPr>
        <w:t xml:space="preserve"> </w:t>
      </w:r>
      <w:r w:rsidR="00D63DE0" w:rsidRPr="00C93194">
        <w:rPr>
          <w:rFonts w:ascii="Calibri" w:hAnsi="Calibri"/>
          <w:b/>
          <w:i/>
          <w:color w:val="000000"/>
          <w:sz w:val="24"/>
          <w:szCs w:val="24"/>
        </w:rPr>
        <w:t>Judge</w:t>
      </w:r>
      <w:r w:rsidR="004D7A23" w:rsidRPr="00C93194">
        <w:rPr>
          <w:rFonts w:ascii="Calibri" w:hAnsi="Calibri"/>
          <w:b/>
          <w:i/>
          <w:color w:val="000000"/>
          <w:sz w:val="24"/>
          <w:szCs w:val="24"/>
        </w:rPr>
        <w:t>’</w:t>
      </w:r>
      <w:r w:rsidR="00D63DE0" w:rsidRPr="00C93194">
        <w:rPr>
          <w:rFonts w:ascii="Calibri" w:hAnsi="Calibri"/>
          <w:b/>
          <w:i/>
          <w:color w:val="000000"/>
          <w:sz w:val="24"/>
          <w:szCs w:val="24"/>
        </w:rPr>
        <w:t>s Papers</w:t>
      </w:r>
      <w:r w:rsidR="001629DE" w:rsidRPr="007C5F9B">
        <w:rPr>
          <w:rFonts w:ascii="Calibri" w:hAnsi="Calibri"/>
          <w:i/>
          <w:color w:val="000000"/>
          <w:sz w:val="24"/>
          <w:szCs w:val="24"/>
        </w:rPr>
        <w:t xml:space="preserve">: </w:t>
      </w:r>
    </w:p>
    <w:p w:rsidR="005D6842" w:rsidRPr="00412A49" w:rsidRDefault="001629DE" w:rsidP="005D6842">
      <w:pPr>
        <w:numPr>
          <w:ilvl w:val="0"/>
          <w:numId w:val="32"/>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lastRenderedPageBreak/>
        <w:t>I</w:t>
      </w:r>
      <w:r w:rsidR="00D63DE0" w:rsidRPr="00412A49">
        <w:rPr>
          <w:rFonts w:ascii="Calibri" w:hAnsi="Calibri"/>
          <w:color w:val="000000"/>
          <w:sz w:val="22"/>
          <w:szCs w:val="22"/>
        </w:rPr>
        <w:t>n acc</w:t>
      </w:r>
      <w:r w:rsidR="001709C4" w:rsidRPr="00412A49">
        <w:rPr>
          <w:rFonts w:ascii="Calibri" w:hAnsi="Calibri"/>
          <w:color w:val="000000"/>
          <w:sz w:val="22"/>
          <w:szCs w:val="22"/>
        </w:rPr>
        <w:t xml:space="preserve">ordance with </w:t>
      </w:r>
      <w:r w:rsidR="00C05A1A" w:rsidRPr="00412A49">
        <w:rPr>
          <w:rFonts w:ascii="Calibri" w:hAnsi="Calibri"/>
          <w:color w:val="000000"/>
          <w:sz w:val="22"/>
          <w:szCs w:val="22"/>
        </w:rPr>
        <w:t>P</w:t>
      </w:r>
      <w:r w:rsidR="001709C4" w:rsidRPr="00412A49">
        <w:rPr>
          <w:rFonts w:ascii="Calibri" w:hAnsi="Calibri"/>
          <w:color w:val="000000"/>
          <w:sz w:val="22"/>
          <w:szCs w:val="22"/>
        </w:rPr>
        <w:t xml:space="preserve">ractice </w:t>
      </w:r>
      <w:r w:rsidR="00C05A1A" w:rsidRPr="00412A49">
        <w:rPr>
          <w:rFonts w:ascii="Calibri" w:hAnsi="Calibri"/>
          <w:color w:val="000000"/>
          <w:sz w:val="22"/>
          <w:szCs w:val="22"/>
        </w:rPr>
        <w:t>D</w:t>
      </w:r>
      <w:r w:rsidR="001709C4" w:rsidRPr="00412A49">
        <w:rPr>
          <w:rFonts w:ascii="Calibri" w:hAnsi="Calibri"/>
          <w:color w:val="000000"/>
          <w:sz w:val="22"/>
          <w:szCs w:val="22"/>
        </w:rPr>
        <w:t>irection 16 of 2005</w:t>
      </w:r>
      <w:r w:rsidR="00A11507" w:rsidRPr="00412A49">
        <w:rPr>
          <w:rFonts w:ascii="Calibri" w:hAnsi="Calibri"/>
          <w:color w:val="000000"/>
          <w:sz w:val="22"/>
          <w:szCs w:val="22"/>
        </w:rPr>
        <w:t>,</w:t>
      </w:r>
      <w:r w:rsidR="001709C4" w:rsidRPr="00412A49">
        <w:rPr>
          <w:rFonts w:ascii="Calibri" w:hAnsi="Calibri"/>
          <w:color w:val="000000"/>
          <w:sz w:val="22"/>
          <w:szCs w:val="22"/>
        </w:rPr>
        <w:t xml:space="preserve"> one set of papers for the use of the </w:t>
      </w:r>
      <w:r w:rsidR="002A5793" w:rsidRPr="00412A49">
        <w:rPr>
          <w:rFonts w:ascii="Calibri" w:hAnsi="Calibri"/>
          <w:color w:val="000000"/>
          <w:sz w:val="22"/>
          <w:szCs w:val="22"/>
        </w:rPr>
        <w:t>J</w:t>
      </w:r>
      <w:r w:rsidR="001709C4" w:rsidRPr="00412A49">
        <w:rPr>
          <w:rFonts w:ascii="Calibri" w:hAnsi="Calibri"/>
          <w:color w:val="000000"/>
          <w:sz w:val="22"/>
          <w:szCs w:val="22"/>
        </w:rPr>
        <w:t xml:space="preserve">udge </w:t>
      </w:r>
      <w:r w:rsidR="002A5793" w:rsidRPr="00412A49">
        <w:rPr>
          <w:rFonts w:ascii="Calibri" w:hAnsi="Calibri"/>
          <w:color w:val="000000"/>
          <w:sz w:val="22"/>
          <w:szCs w:val="22"/>
        </w:rPr>
        <w:t>must</w:t>
      </w:r>
      <w:r w:rsidR="001709C4" w:rsidRPr="00412A49">
        <w:rPr>
          <w:rFonts w:ascii="Calibri" w:hAnsi="Calibri"/>
          <w:color w:val="000000"/>
          <w:sz w:val="22"/>
          <w:szCs w:val="22"/>
        </w:rPr>
        <w:t xml:space="preserve"> be filed at least two clear days before the hearing.  </w:t>
      </w:r>
    </w:p>
    <w:p w:rsidR="005D6842" w:rsidRPr="00412A49" w:rsidRDefault="001709C4" w:rsidP="005D6842">
      <w:pPr>
        <w:numPr>
          <w:ilvl w:val="0"/>
          <w:numId w:val="32"/>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Judge</w:t>
      </w:r>
      <w:r w:rsidR="004D7A23" w:rsidRPr="00412A49">
        <w:rPr>
          <w:rFonts w:ascii="Calibri" w:hAnsi="Calibri"/>
          <w:color w:val="000000"/>
          <w:sz w:val="22"/>
          <w:szCs w:val="22"/>
        </w:rPr>
        <w:t>’</w:t>
      </w:r>
      <w:r w:rsidRPr="00412A49">
        <w:rPr>
          <w:rFonts w:ascii="Calibri" w:hAnsi="Calibri"/>
          <w:color w:val="000000"/>
          <w:sz w:val="22"/>
          <w:szCs w:val="22"/>
        </w:rPr>
        <w:t xml:space="preserve">s </w:t>
      </w:r>
      <w:r w:rsidR="004D7A23" w:rsidRPr="00412A49">
        <w:rPr>
          <w:rFonts w:ascii="Calibri" w:hAnsi="Calibri"/>
          <w:color w:val="000000"/>
          <w:sz w:val="22"/>
          <w:szCs w:val="22"/>
        </w:rPr>
        <w:t>p</w:t>
      </w:r>
      <w:r w:rsidRPr="00412A49">
        <w:rPr>
          <w:rFonts w:ascii="Calibri" w:hAnsi="Calibri"/>
          <w:color w:val="000000"/>
          <w:sz w:val="22"/>
          <w:szCs w:val="22"/>
        </w:rPr>
        <w:t>apers</w:t>
      </w:r>
      <w:r w:rsidR="00996BD1" w:rsidRPr="00412A49">
        <w:rPr>
          <w:rFonts w:ascii="Calibri" w:hAnsi="Calibri"/>
          <w:color w:val="000000"/>
          <w:sz w:val="22"/>
          <w:szCs w:val="22"/>
        </w:rPr>
        <w:t xml:space="preserve"> are a collati</w:t>
      </w:r>
      <w:r w:rsidR="003765CE">
        <w:rPr>
          <w:rFonts w:ascii="Calibri" w:hAnsi="Calibri"/>
          <w:color w:val="000000"/>
          <w:sz w:val="22"/>
          <w:szCs w:val="22"/>
        </w:rPr>
        <w:t>on of copies of the application, t</w:t>
      </w:r>
      <w:r w:rsidR="00996BD1" w:rsidRPr="00412A49">
        <w:rPr>
          <w:rFonts w:ascii="Calibri" w:hAnsi="Calibri"/>
          <w:color w:val="000000"/>
          <w:sz w:val="22"/>
          <w:szCs w:val="22"/>
        </w:rPr>
        <w:t>he affidavit</w:t>
      </w:r>
      <w:r w:rsidR="00C05A1A" w:rsidRPr="00412A49">
        <w:rPr>
          <w:rFonts w:ascii="Calibri" w:hAnsi="Calibri"/>
          <w:color w:val="000000"/>
          <w:sz w:val="22"/>
          <w:szCs w:val="22"/>
        </w:rPr>
        <w:t xml:space="preserve">s, including </w:t>
      </w:r>
      <w:r w:rsidR="00B41FA8" w:rsidRPr="00412A49">
        <w:rPr>
          <w:rFonts w:ascii="Calibri" w:hAnsi="Calibri"/>
          <w:color w:val="000000"/>
          <w:sz w:val="22"/>
          <w:szCs w:val="22"/>
        </w:rPr>
        <w:t>any annexures</w:t>
      </w:r>
      <w:r w:rsidR="00C05A1A" w:rsidRPr="00412A49">
        <w:rPr>
          <w:rFonts w:ascii="Calibri" w:hAnsi="Calibri"/>
          <w:color w:val="000000"/>
          <w:sz w:val="22"/>
          <w:szCs w:val="22"/>
        </w:rPr>
        <w:t>,</w:t>
      </w:r>
      <w:r w:rsidR="003765CE">
        <w:rPr>
          <w:rFonts w:ascii="Calibri" w:hAnsi="Calibri"/>
          <w:color w:val="000000"/>
          <w:sz w:val="22"/>
          <w:szCs w:val="22"/>
        </w:rPr>
        <w:t xml:space="preserve"> and the oath</w:t>
      </w:r>
      <w:r w:rsidR="00996BD1" w:rsidRPr="00412A49">
        <w:rPr>
          <w:rFonts w:ascii="Calibri" w:hAnsi="Calibri"/>
          <w:color w:val="000000"/>
          <w:sz w:val="22"/>
          <w:szCs w:val="22"/>
        </w:rPr>
        <w:t xml:space="preserve"> relied upon </w:t>
      </w:r>
      <w:r w:rsidR="00C05A1A" w:rsidRPr="00412A49">
        <w:rPr>
          <w:rFonts w:ascii="Calibri" w:hAnsi="Calibri"/>
          <w:color w:val="000000"/>
          <w:sz w:val="22"/>
          <w:szCs w:val="22"/>
        </w:rPr>
        <w:t xml:space="preserve">in </w:t>
      </w:r>
      <w:r w:rsidR="00996BD1" w:rsidRPr="00412A49">
        <w:rPr>
          <w:rFonts w:ascii="Calibri" w:hAnsi="Calibri"/>
          <w:color w:val="000000"/>
          <w:sz w:val="22"/>
          <w:szCs w:val="22"/>
        </w:rPr>
        <w:t xml:space="preserve">support </w:t>
      </w:r>
      <w:r w:rsidR="00C05A1A" w:rsidRPr="00412A49">
        <w:rPr>
          <w:rFonts w:ascii="Calibri" w:hAnsi="Calibri"/>
          <w:color w:val="000000"/>
          <w:sz w:val="22"/>
          <w:szCs w:val="22"/>
        </w:rPr>
        <w:t xml:space="preserve">of </w:t>
      </w:r>
      <w:r w:rsidR="00996BD1" w:rsidRPr="00412A49">
        <w:rPr>
          <w:rFonts w:ascii="Calibri" w:hAnsi="Calibri"/>
          <w:color w:val="000000"/>
          <w:sz w:val="22"/>
          <w:szCs w:val="22"/>
        </w:rPr>
        <w:t xml:space="preserve">the application.  </w:t>
      </w:r>
    </w:p>
    <w:p w:rsidR="005D6842" w:rsidRPr="00412A49" w:rsidRDefault="00C05A1A" w:rsidP="005D6842">
      <w:pPr>
        <w:numPr>
          <w:ilvl w:val="0"/>
          <w:numId w:val="32"/>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T</w:t>
      </w:r>
      <w:r w:rsidR="00A11507" w:rsidRPr="00412A49">
        <w:rPr>
          <w:rFonts w:ascii="Calibri" w:hAnsi="Calibri"/>
          <w:color w:val="000000"/>
          <w:sz w:val="22"/>
          <w:szCs w:val="22"/>
        </w:rPr>
        <w:t xml:space="preserve">he </w:t>
      </w:r>
      <w:r w:rsidRPr="00412A49">
        <w:rPr>
          <w:rFonts w:ascii="Calibri" w:hAnsi="Calibri"/>
          <w:color w:val="000000"/>
          <w:sz w:val="22"/>
          <w:szCs w:val="22"/>
        </w:rPr>
        <w:t>J</w:t>
      </w:r>
      <w:r w:rsidR="00A11507" w:rsidRPr="00412A49">
        <w:rPr>
          <w:rFonts w:ascii="Calibri" w:hAnsi="Calibri"/>
          <w:color w:val="000000"/>
          <w:sz w:val="22"/>
          <w:szCs w:val="22"/>
        </w:rPr>
        <w:t>udge</w:t>
      </w:r>
      <w:r w:rsidR="004D7A23" w:rsidRPr="00412A49">
        <w:rPr>
          <w:rFonts w:ascii="Calibri" w:hAnsi="Calibri"/>
          <w:color w:val="000000"/>
          <w:sz w:val="22"/>
          <w:szCs w:val="22"/>
        </w:rPr>
        <w:t>’</w:t>
      </w:r>
      <w:r w:rsidR="00A11507" w:rsidRPr="00412A49">
        <w:rPr>
          <w:rFonts w:ascii="Calibri" w:hAnsi="Calibri"/>
          <w:color w:val="000000"/>
          <w:sz w:val="22"/>
          <w:szCs w:val="22"/>
        </w:rPr>
        <w:t xml:space="preserve">s </w:t>
      </w:r>
      <w:r w:rsidRPr="00412A49">
        <w:rPr>
          <w:rFonts w:ascii="Calibri" w:hAnsi="Calibri"/>
          <w:color w:val="000000"/>
          <w:sz w:val="22"/>
          <w:szCs w:val="22"/>
        </w:rPr>
        <w:t>P</w:t>
      </w:r>
      <w:r w:rsidR="00A11507" w:rsidRPr="00412A49">
        <w:rPr>
          <w:rFonts w:ascii="Calibri" w:hAnsi="Calibri"/>
          <w:color w:val="000000"/>
          <w:sz w:val="22"/>
          <w:szCs w:val="22"/>
        </w:rPr>
        <w:t xml:space="preserve">apers </w:t>
      </w:r>
      <w:r w:rsidR="00996BD1" w:rsidRPr="00412A49">
        <w:rPr>
          <w:rFonts w:ascii="Calibri" w:hAnsi="Calibri"/>
          <w:color w:val="000000"/>
          <w:sz w:val="22"/>
          <w:szCs w:val="22"/>
        </w:rPr>
        <w:t>should contain c</w:t>
      </w:r>
      <w:r w:rsidR="00660FE0" w:rsidRPr="00412A49">
        <w:rPr>
          <w:rFonts w:ascii="Calibri" w:hAnsi="Calibri"/>
          <w:color w:val="000000"/>
          <w:sz w:val="22"/>
          <w:szCs w:val="22"/>
        </w:rPr>
        <w:t xml:space="preserve">opies of the stamped and dated </w:t>
      </w:r>
      <w:r w:rsidR="001709C4" w:rsidRPr="00412A49">
        <w:rPr>
          <w:rFonts w:ascii="Calibri" w:hAnsi="Calibri"/>
          <w:color w:val="000000"/>
          <w:sz w:val="22"/>
          <w:szCs w:val="22"/>
        </w:rPr>
        <w:t xml:space="preserve">application and all of the </w:t>
      </w:r>
      <w:r w:rsidR="00660FE0" w:rsidRPr="00412A49">
        <w:rPr>
          <w:rFonts w:ascii="Calibri" w:hAnsi="Calibri"/>
          <w:color w:val="000000"/>
          <w:sz w:val="22"/>
          <w:szCs w:val="22"/>
        </w:rPr>
        <w:t xml:space="preserve">stamped and dated </w:t>
      </w:r>
      <w:r w:rsidR="001709C4" w:rsidRPr="00412A49">
        <w:rPr>
          <w:rFonts w:ascii="Calibri" w:hAnsi="Calibri"/>
          <w:color w:val="000000"/>
          <w:sz w:val="22"/>
          <w:szCs w:val="22"/>
        </w:rPr>
        <w:t xml:space="preserve">materials lodged in support of the application.  </w:t>
      </w:r>
    </w:p>
    <w:p w:rsidR="007C5F9B" w:rsidRDefault="001709C4" w:rsidP="00C93194">
      <w:pPr>
        <w:numPr>
          <w:ilvl w:val="0"/>
          <w:numId w:val="32"/>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 xml:space="preserve">The </w:t>
      </w:r>
      <w:r w:rsidR="00071376" w:rsidRPr="00412A49">
        <w:rPr>
          <w:rFonts w:ascii="Calibri" w:hAnsi="Calibri"/>
          <w:color w:val="000000"/>
          <w:sz w:val="22"/>
          <w:szCs w:val="22"/>
        </w:rPr>
        <w:t>materials should be placed in a logical order, given page numbers</w:t>
      </w:r>
      <w:r w:rsidR="00996BD1" w:rsidRPr="00412A49">
        <w:rPr>
          <w:rFonts w:ascii="Calibri" w:hAnsi="Calibri"/>
          <w:color w:val="000000"/>
          <w:sz w:val="22"/>
          <w:szCs w:val="22"/>
        </w:rPr>
        <w:t>, bound securely with staples or similar</w:t>
      </w:r>
      <w:r w:rsidR="00071376" w:rsidRPr="00412A49">
        <w:rPr>
          <w:rFonts w:ascii="Calibri" w:hAnsi="Calibri"/>
          <w:color w:val="000000"/>
          <w:sz w:val="22"/>
          <w:szCs w:val="22"/>
        </w:rPr>
        <w:t xml:space="preserve"> and </w:t>
      </w:r>
      <w:r w:rsidR="00996BD1" w:rsidRPr="00412A49">
        <w:rPr>
          <w:rFonts w:ascii="Calibri" w:hAnsi="Calibri"/>
          <w:color w:val="000000"/>
          <w:sz w:val="22"/>
          <w:szCs w:val="22"/>
        </w:rPr>
        <w:t>should contain</w:t>
      </w:r>
      <w:r w:rsidR="00C93194">
        <w:rPr>
          <w:rFonts w:ascii="Calibri" w:hAnsi="Calibri"/>
          <w:color w:val="000000"/>
          <w:sz w:val="22"/>
          <w:szCs w:val="22"/>
        </w:rPr>
        <w:t xml:space="preserve"> a title page at the front of the collation that includes the title of the proceeding and an index of the collation.</w:t>
      </w:r>
      <w:r w:rsidR="00071376" w:rsidRPr="00412A49">
        <w:rPr>
          <w:rFonts w:ascii="Calibri" w:hAnsi="Calibri"/>
          <w:color w:val="000000"/>
          <w:sz w:val="22"/>
          <w:szCs w:val="22"/>
        </w:rPr>
        <w:t xml:space="preserve"> </w:t>
      </w:r>
    </w:p>
    <w:p w:rsidR="00E66808" w:rsidRPr="00412A49" w:rsidRDefault="00E66808" w:rsidP="00E66808">
      <w:pPr>
        <w:overflowPunct/>
        <w:autoSpaceDE/>
        <w:autoSpaceDN/>
        <w:adjustRightInd/>
        <w:spacing w:line="360" w:lineRule="auto"/>
        <w:ind w:left="720"/>
        <w:textAlignment w:val="auto"/>
        <w:rPr>
          <w:rFonts w:ascii="Calibri" w:hAnsi="Calibri"/>
          <w:color w:val="000000"/>
          <w:sz w:val="22"/>
          <w:szCs w:val="22"/>
        </w:rPr>
      </w:pPr>
    </w:p>
    <w:p w:rsidR="00D24362" w:rsidRPr="00E66808" w:rsidRDefault="00AE50E5" w:rsidP="008F33C2">
      <w:pPr>
        <w:numPr>
          <w:ilvl w:val="0"/>
          <w:numId w:val="5"/>
        </w:numPr>
        <w:overflowPunct/>
        <w:autoSpaceDE/>
        <w:autoSpaceDN/>
        <w:adjustRightInd/>
        <w:spacing w:line="360" w:lineRule="auto"/>
        <w:textAlignment w:val="auto"/>
        <w:rPr>
          <w:rFonts w:ascii="Calibri" w:hAnsi="Calibri"/>
          <w:b/>
          <w:color w:val="000000"/>
          <w:sz w:val="22"/>
          <w:szCs w:val="22"/>
        </w:rPr>
      </w:pPr>
      <w:r w:rsidRPr="00E66808">
        <w:rPr>
          <w:rFonts w:ascii="Calibri" w:hAnsi="Calibri"/>
          <w:b/>
          <w:i/>
          <w:color w:val="000000"/>
          <w:sz w:val="24"/>
          <w:szCs w:val="24"/>
        </w:rPr>
        <w:t>Appearing in Court for the application</w:t>
      </w:r>
      <w:r w:rsidR="005518D0" w:rsidRPr="00E66808">
        <w:rPr>
          <w:rFonts w:ascii="Calibri" w:hAnsi="Calibri"/>
          <w:b/>
          <w:color w:val="000000"/>
          <w:sz w:val="22"/>
          <w:szCs w:val="22"/>
        </w:rPr>
        <w:t>:</w:t>
      </w:r>
      <w:r w:rsidR="006809ED" w:rsidRPr="00E66808">
        <w:rPr>
          <w:rFonts w:ascii="Calibri" w:hAnsi="Calibri"/>
          <w:b/>
          <w:color w:val="000000"/>
          <w:sz w:val="22"/>
          <w:szCs w:val="22"/>
        </w:rPr>
        <w:t xml:space="preserve">  </w:t>
      </w:r>
    </w:p>
    <w:p w:rsidR="003154B0" w:rsidRPr="00412A49" w:rsidRDefault="00AE50E5"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Applicants</w:t>
      </w:r>
      <w:r w:rsidR="006809ED" w:rsidRPr="00412A49">
        <w:rPr>
          <w:rFonts w:ascii="Calibri" w:hAnsi="Calibri"/>
          <w:color w:val="000000"/>
          <w:sz w:val="22"/>
          <w:szCs w:val="22"/>
        </w:rPr>
        <w:t xml:space="preserve"> s</w:t>
      </w:r>
      <w:r w:rsidR="004035F9" w:rsidRPr="00412A49">
        <w:rPr>
          <w:rFonts w:ascii="Calibri" w:hAnsi="Calibri"/>
          <w:color w:val="000000"/>
          <w:sz w:val="22"/>
          <w:szCs w:val="22"/>
        </w:rPr>
        <w:t>ho</w:t>
      </w:r>
      <w:r w:rsidRPr="00412A49">
        <w:rPr>
          <w:rFonts w:ascii="Calibri" w:hAnsi="Calibri"/>
          <w:color w:val="000000"/>
          <w:sz w:val="22"/>
          <w:szCs w:val="22"/>
        </w:rPr>
        <w:t xml:space="preserve">uld attend the Court promptly and </w:t>
      </w:r>
      <w:r w:rsidR="004035F9" w:rsidRPr="00412A49">
        <w:rPr>
          <w:rFonts w:ascii="Calibri" w:hAnsi="Calibri"/>
          <w:color w:val="000000"/>
          <w:sz w:val="22"/>
          <w:szCs w:val="22"/>
        </w:rPr>
        <w:t xml:space="preserve">dress for the </w:t>
      </w:r>
      <w:r w:rsidR="00C05A1A" w:rsidRPr="00412A49">
        <w:rPr>
          <w:rFonts w:ascii="Calibri" w:hAnsi="Calibri"/>
          <w:color w:val="000000"/>
          <w:sz w:val="22"/>
          <w:szCs w:val="22"/>
        </w:rPr>
        <w:t>occasion</w:t>
      </w:r>
      <w:r w:rsidR="006809ED" w:rsidRPr="00412A49">
        <w:rPr>
          <w:rFonts w:ascii="Calibri" w:hAnsi="Calibri"/>
          <w:color w:val="000000"/>
          <w:sz w:val="22"/>
          <w:szCs w:val="22"/>
        </w:rPr>
        <w:t xml:space="preserve"> in such a way as to demonstrate respect for the Court and the application </w:t>
      </w:r>
      <w:r w:rsidRPr="00412A49">
        <w:rPr>
          <w:rFonts w:ascii="Calibri" w:hAnsi="Calibri"/>
          <w:color w:val="000000"/>
          <w:sz w:val="22"/>
          <w:szCs w:val="22"/>
        </w:rPr>
        <w:t>being made.</w:t>
      </w:r>
      <w:r w:rsidR="006809ED" w:rsidRPr="00412A49">
        <w:rPr>
          <w:rFonts w:ascii="Calibri" w:hAnsi="Calibri"/>
          <w:color w:val="000000"/>
          <w:sz w:val="22"/>
          <w:szCs w:val="22"/>
        </w:rPr>
        <w:t xml:space="preserve">  </w:t>
      </w:r>
      <w:r w:rsidR="00D24362" w:rsidRPr="00412A49">
        <w:rPr>
          <w:rFonts w:ascii="Calibri" w:hAnsi="Calibri"/>
          <w:color w:val="000000"/>
          <w:sz w:val="22"/>
          <w:szCs w:val="22"/>
        </w:rPr>
        <w:t>Neat business attire is appropriate.</w:t>
      </w:r>
    </w:p>
    <w:p w:rsidR="00D24362" w:rsidRPr="00412A49" w:rsidRDefault="00D24362"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 xml:space="preserve">Applications for admission are civil applications and they are heard in Court.  The Judge and counsel </w:t>
      </w:r>
      <w:r w:rsidR="00874299" w:rsidRPr="00412A49">
        <w:rPr>
          <w:rFonts w:ascii="Calibri" w:hAnsi="Calibri"/>
          <w:color w:val="000000"/>
          <w:sz w:val="22"/>
          <w:szCs w:val="22"/>
        </w:rPr>
        <w:t>robe</w:t>
      </w:r>
      <w:r w:rsidR="00214476">
        <w:rPr>
          <w:rFonts w:ascii="Calibri" w:hAnsi="Calibri"/>
          <w:color w:val="000000"/>
          <w:sz w:val="22"/>
          <w:szCs w:val="22"/>
        </w:rPr>
        <w:t>,</w:t>
      </w:r>
      <w:r w:rsidR="00874299" w:rsidRPr="00412A49">
        <w:rPr>
          <w:rFonts w:ascii="Calibri" w:hAnsi="Calibri"/>
          <w:color w:val="000000"/>
          <w:sz w:val="22"/>
          <w:szCs w:val="22"/>
        </w:rPr>
        <w:t xml:space="preserve"> but do not wear wigs</w:t>
      </w:r>
      <w:r w:rsidR="00FF27BA" w:rsidRPr="00412A49">
        <w:rPr>
          <w:rFonts w:ascii="Calibri" w:hAnsi="Calibri"/>
          <w:color w:val="000000"/>
          <w:sz w:val="22"/>
          <w:szCs w:val="22"/>
        </w:rPr>
        <w:t>.</w:t>
      </w:r>
    </w:p>
    <w:p w:rsidR="00D24362" w:rsidRPr="00412A49" w:rsidRDefault="00FF27BA"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Applicants for admission should be seated in the public seating available in the Court</w:t>
      </w:r>
      <w:r w:rsidR="00B404BA" w:rsidRPr="00412A49">
        <w:rPr>
          <w:rFonts w:ascii="Calibri" w:hAnsi="Calibri"/>
          <w:color w:val="000000"/>
          <w:sz w:val="22"/>
          <w:szCs w:val="22"/>
        </w:rPr>
        <w:t>, or in such other a</w:t>
      </w:r>
      <w:r w:rsidR="004035F9" w:rsidRPr="00412A49">
        <w:rPr>
          <w:rFonts w:ascii="Calibri" w:hAnsi="Calibri"/>
          <w:color w:val="000000"/>
          <w:sz w:val="22"/>
          <w:szCs w:val="22"/>
        </w:rPr>
        <w:t>rea as directed by c</w:t>
      </w:r>
      <w:r w:rsidR="00B404BA" w:rsidRPr="00412A49">
        <w:rPr>
          <w:rFonts w:ascii="Calibri" w:hAnsi="Calibri"/>
          <w:color w:val="000000"/>
          <w:sz w:val="22"/>
          <w:szCs w:val="22"/>
        </w:rPr>
        <w:t>ourt staff</w:t>
      </w:r>
      <w:r w:rsidRPr="00412A49">
        <w:rPr>
          <w:rFonts w:ascii="Calibri" w:hAnsi="Calibri"/>
          <w:color w:val="000000"/>
          <w:sz w:val="22"/>
          <w:szCs w:val="22"/>
        </w:rPr>
        <w:t>.  Legal</w:t>
      </w:r>
      <w:r w:rsidR="00B404BA" w:rsidRPr="00412A49">
        <w:rPr>
          <w:rFonts w:ascii="Calibri" w:hAnsi="Calibri"/>
          <w:color w:val="000000"/>
          <w:sz w:val="22"/>
          <w:szCs w:val="22"/>
        </w:rPr>
        <w:t xml:space="preserve"> practitioners moving admission and representing the Legal Profession Board and the Law Society</w:t>
      </w:r>
      <w:r w:rsidR="00FE7614" w:rsidRPr="00412A49">
        <w:rPr>
          <w:rFonts w:ascii="Calibri" w:hAnsi="Calibri"/>
          <w:color w:val="000000"/>
          <w:sz w:val="22"/>
          <w:szCs w:val="22"/>
        </w:rPr>
        <w:t xml:space="preserve"> will be seated at</w:t>
      </w:r>
      <w:r w:rsidR="00CD512A">
        <w:rPr>
          <w:rFonts w:ascii="Calibri" w:hAnsi="Calibri"/>
          <w:color w:val="000000"/>
          <w:sz w:val="22"/>
          <w:szCs w:val="22"/>
        </w:rPr>
        <w:t xml:space="preserve"> or near to</w:t>
      </w:r>
      <w:r w:rsidR="00FE7614" w:rsidRPr="00412A49">
        <w:rPr>
          <w:rFonts w:ascii="Calibri" w:hAnsi="Calibri"/>
          <w:color w:val="000000"/>
          <w:sz w:val="22"/>
          <w:szCs w:val="22"/>
        </w:rPr>
        <w:t xml:space="preserve"> the bar table.</w:t>
      </w:r>
    </w:p>
    <w:p w:rsidR="00B404BA" w:rsidRPr="00412A49" w:rsidRDefault="00B404BA"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 xml:space="preserve">The order of the matters to be heard in the Court on that day is </w:t>
      </w:r>
      <w:proofErr w:type="spellStart"/>
      <w:r w:rsidR="00F4133C" w:rsidRPr="00412A49">
        <w:rPr>
          <w:rFonts w:ascii="Calibri" w:hAnsi="Calibri"/>
          <w:color w:val="000000"/>
          <w:sz w:val="22"/>
          <w:szCs w:val="22"/>
        </w:rPr>
        <w:t>co-ordinated</w:t>
      </w:r>
      <w:proofErr w:type="spellEnd"/>
      <w:r w:rsidRPr="00412A49">
        <w:rPr>
          <w:rFonts w:ascii="Calibri" w:hAnsi="Calibri"/>
          <w:color w:val="000000"/>
          <w:sz w:val="22"/>
          <w:szCs w:val="22"/>
        </w:rPr>
        <w:t xml:space="preserve"> by the Judge’s Associate </w:t>
      </w:r>
      <w:r w:rsidR="00F4133C" w:rsidRPr="00412A49">
        <w:rPr>
          <w:rFonts w:ascii="Calibri" w:hAnsi="Calibri"/>
          <w:color w:val="000000"/>
          <w:sz w:val="22"/>
          <w:szCs w:val="22"/>
        </w:rPr>
        <w:t>in accordance with the direction of the Judge and the circumstances</w:t>
      </w:r>
      <w:r w:rsidRPr="00412A49">
        <w:rPr>
          <w:rFonts w:ascii="Calibri" w:hAnsi="Calibri"/>
          <w:color w:val="000000"/>
          <w:sz w:val="22"/>
          <w:szCs w:val="22"/>
        </w:rPr>
        <w:t xml:space="preserve">.  When a number of admissions are to be heard on the same day </w:t>
      </w:r>
      <w:r w:rsidR="00CD512A">
        <w:rPr>
          <w:rFonts w:ascii="Calibri" w:hAnsi="Calibri"/>
          <w:color w:val="000000"/>
          <w:sz w:val="22"/>
          <w:szCs w:val="22"/>
        </w:rPr>
        <w:t>some aspects of the hearing m</w:t>
      </w:r>
      <w:r w:rsidRPr="00412A49">
        <w:rPr>
          <w:rFonts w:ascii="Calibri" w:hAnsi="Calibri"/>
          <w:color w:val="000000"/>
          <w:sz w:val="22"/>
          <w:szCs w:val="22"/>
        </w:rPr>
        <w:t>ay be dealt with collectively.</w:t>
      </w:r>
    </w:p>
    <w:p w:rsidR="00B404BA" w:rsidRPr="00412A49" w:rsidRDefault="00B404BA"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sidRPr="00412A49">
        <w:rPr>
          <w:rFonts w:ascii="Calibri" w:hAnsi="Calibri"/>
          <w:color w:val="000000"/>
          <w:sz w:val="22"/>
          <w:szCs w:val="22"/>
        </w:rPr>
        <w:t xml:space="preserve">When </w:t>
      </w:r>
      <w:r w:rsidR="00AD6EB0">
        <w:rPr>
          <w:rFonts w:ascii="Calibri" w:hAnsi="Calibri"/>
          <w:color w:val="000000"/>
          <w:sz w:val="22"/>
          <w:szCs w:val="22"/>
        </w:rPr>
        <w:t>the</w:t>
      </w:r>
      <w:r w:rsidRPr="00412A49">
        <w:rPr>
          <w:rFonts w:ascii="Calibri" w:hAnsi="Calibri"/>
          <w:color w:val="000000"/>
          <w:sz w:val="22"/>
          <w:szCs w:val="22"/>
        </w:rPr>
        <w:t xml:space="preserve"> application is called on by the Judge’s Associate the legal practitioner appearing on </w:t>
      </w:r>
      <w:r w:rsidR="00AD6EB0">
        <w:rPr>
          <w:rFonts w:ascii="Calibri" w:hAnsi="Calibri"/>
          <w:color w:val="000000"/>
          <w:sz w:val="22"/>
          <w:szCs w:val="22"/>
        </w:rPr>
        <w:t>the applicant’s</w:t>
      </w:r>
      <w:r w:rsidRPr="00412A49">
        <w:rPr>
          <w:rFonts w:ascii="Calibri" w:hAnsi="Calibri"/>
          <w:color w:val="000000"/>
          <w:sz w:val="22"/>
          <w:szCs w:val="22"/>
        </w:rPr>
        <w:t xml:space="preserve"> behalf</w:t>
      </w:r>
      <w:r w:rsidR="00CD512A">
        <w:rPr>
          <w:rFonts w:ascii="Calibri" w:hAnsi="Calibri"/>
          <w:color w:val="000000"/>
          <w:sz w:val="22"/>
          <w:szCs w:val="22"/>
        </w:rPr>
        <w:t>, or the applicant if appearing him or herself,</w:t>
      </w:r>
      <w:r w:rsidRPr="00412A49">
        <w:rPr>
          <w:rFonts w:ascii="Calibri" w:hAnsi="Calibri"/>
          <w:color w:val="000000"/>
          <w:sz w:val="22"/>
          <w:szCs w:val="22"/>
        </w:rPr>
        <w:t xml:space="preserve"> will stand and announce his or her appearance and </w:t>
      </w:r>
      <w:r w:rsidR="00C05A1A" w:rsidRPr="00412A49">
        <w:rPr>
          <w:rFonts w:ascii="Calibri" w:hAnsi="Calibri"/>
          <w:color w:val="000000"/>
          <w:sz w:val="22"/>
          <w:szCs w:val="22"/>
        </w:rPr>
        <w:t xml:space="preserve">submit </w:t>
      </w:r>
      <w:r w:rsidRPr="00412A49">
        <w:rPr>
          <w:rFonts w:ascii="Calibri" w:hAnsi="Calibri"/>
          <w:color w:val="000000"/>
          <w:sz w:val="22"/>
          <w:szCs w:val="22"/>
        </w:rPr>
        <w:t xml:space="preserve">that </w:t>
      </w:r>
      <w:r w:rsidR="00CD512A">
        <w:rPr>
          <w:rFonts w:ascii="Calibri" w:hAnsi="Calibri"/>
          <w:color w:val="000000"/>
          <w:sz w:val="22"/>
          <w:szCs w:val="22"/>
        </w:rPr>
        <w:t>the</w:t>
      </w:r>
      <w:r w:rsidRPr="00412A49">
        <w:rPr>
          <w:rFonts w:ascii="Calibri" w:hAnsi="Calibri"/>
          <w:color w:val="000000"/>
          <w:sz w:val="22"/>
          <w:szCs w:val="22"/>
        </w:rPr>
        <w:t xml:space="preserve"> application</w:t>
      </w:r>
      <w:r w:rsidR="00C05A1A" w:rsidRPr="00412A49">
        <w:rPr>
          <w:rFonts w:ascii="Calibri" w:hAnsi="Calibri"/>
          <w:color w:val="000000"/>
          <w:sz w:val="22"/>
          <w:szCs w:val="22"/>
        </w:rPr>
        <w:t xml:space="preserve"> should</w:t>
      </w:r>
      <w:r w:rsidRPr="00412A49">
        <w:rPr>
          <w:rFonts w:ascii="Calibri" w:hAnsi="Calibri"/>
          <w:color w:val="000000"/>
          <w:sz w:val="22"/>
          <w:szCs w:val="22"/>
        </w:rPr>
        <w:t xml:space="preserve"> be granted.</w:t>
      </w:r>
    </w:p>
    <w:p w:rsidR="00B404BA" w:rsidRPr="00412A49" w:rsidRDefault="00CF1AD2"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 xml:space="preserve">If there is any objection to </w:t>
      </w:r>
      <w:r w:rsidR="00AD6EB0">
        <w:rPr>
          <w:rFonts w:ascii="Calibri" w:hAnsi="Calibri"/>
          <w:color w:val="000000"/>
          <w:sz w:val="22"/>
          <w:szCs w:val="22"/>
        </w:rPr>
        <w:t>a</w:t>
      </w:r>
      <w:r w:rsidRPr="00412A49">
        <w:rPr>
          <w:rFonts w:ascii="Calibri" w:hAnsi="Calibri"/>
          <w:color w:val="000000"/>
          <w:sz w:val="22"/>
          <w:szCs w:val="22"/>
        </w:rPr>
        <w:t>dmission, need for further evidence to be brought</w:t>
      </w:r>
      <w:r w:rsidR="00A26C80" w:rsidRPr="00412A49">
        <w:rPr>
          <w:rFonts w:ascii="Calibri" w:hAnsi="Calibri"/>
          <w:color w:val="000000"/>
          <w:sz w:val="22"/>
          <w:szCs w:val="22"/>
        </w:rPr>
        <w:t>,</w:t>
      </w:r>
      <w:r w:rsidR="00C7495C">
        <w:rPr>
          <w:rFonts w:ascii="Calibri" w:hAnsi="Calibri"/>
          <w:color w:val="000000"/>
          <w:sz w:val="22"/>
          <w:szCs w:val="22"/>
        </w:rPr>
        <w:t xml:space="preserve"> or difficult</w:t>
      </w:r>
      <w:r w:rsidRPr="00412A49">
        <w:rPr>
          <w:rFonts w:ascii="Calibri" w:hAnsi="Calibri"/>
          <w:color w:val="000000"/>
          <w:sz w:val="22"/>
          <w:szCs w:val="22"/>
        </w:rPr>
        <w:t xml:space="preserve">y with </w:t>
      </w:r>
      <w:r w:rsidR="00CD512A">
        <w:rPr>
          <w:rFonts w:ascii="Calibri" w:hAnsi="Calibri"/>
          <w:color w:val="000000"/>
          <w:sz w:val="22"/>
          <w:szCs w:val="22"/>
        </w:rPr>
        <w:t>the</w:t>
      </w:r>
      <w:r w:rsidRPr="00412A49">
        <w:rPr>
          <w:rFonts w:ascii="Calibri" w:hAnsi="Calibri"/>
          <w:color w:val="000000"/>
          <w:sz w:val="22"/>
          <w:szCs w:val="22"/>
        </w:rPr>
        <w:t xml:space="preserve"> application that has not already been addressed administratively</w:t>
      </w:r>
      <w:r w:rsidR="00A26C80" w:rsidRPr="00412A49">
        <w:rPr>
          <w:rFonts w:ascii="Calibri" w:hAnsi="Calibri"/>
          <w:color w:val="000000"/>
          <w:sz w:val="22"/>
          <w:szCs w:val="22"/>
        </w:rPr>
        <w:t>,</w:t>
      </w:r>
      <w:r w:rsidRPr="00412A49">
        <w:rPr>
          <w:rFonts w:ascii="Calibri" w:hAnsi="Calibri"/>
          <w:color w:val="000000"/>
          <w:sz w:val="22"/>
          <w:szCs w:val="22"/>
        </w:rPr>
        <w:t xml:space="preserve"> </w:t>
      </w:r>
      <w:r w:rsidR="003F2DFA" w:rsidRPr="00412A49">
        <w:rPr>
          <w:rFonts w:ascii="Calibri" w:hAnsi="Calibri"/>
          <w:color w:val="000000"/>
          <w:sz w:val="22"/>
          <w:szCs w:val="22"/>
        </w:rPr>
        <w:t>the Judge will deal with this</w:t>
      </w:r>
      <w:r w:rsidRPr="00412A49">
        <w:rPr>
          <w:rFonts w:ascii="Calibri" w:hAnsi="Calibri"/>
          <w:color w:val="000000"/>
          <w:sz w:val="22"/>
          <w:szCs w:val="22"/>
        </w:rPr>
        <w:t>.</w:t>
      </w:r>
    </w:p>
    <w:p w:rsidR="00B404BA" w:rsidRPr="00412A49" w:rsidRDefault="00C7495C"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b/>
          <w:color w:val="000000"/>
          <w:sz w:val="24"/>
          <w:szCs w:val="24"/>
        </w:rPr>
      </w:pPr>
      <w:r>
        <w:rPr>
          <w:rFonts w:ascii="Calibri" w:hAnsi="Calibri"/>
          <w:color w:val="000000"/>
          <w:sz w:val="22"/>
          <w:szCs w:val="22"/>
        </w:rPr>
        <w:lastRenderedPageBreak/>
        <w:t xml:space="preserve">If </w:t>
      </w:r>
      <w:r w:rsidR="007C3205" w:rsidRPr="00412A49">
        <w:rPr>
          <w:rFonts w:ascii="Calibri" w:hAnsi="Calibri"/>
          <w:color w:val="000000"/>
          <w:sz w:val="22"/>
          <w:szCs w:val="22"/>
        </w:rPr>
        <w:t xml:space="preserve">there are no difficulties with the application </w:t>
      </w:r>
      <w:r w:rsidR="00CD512A">
        <w:rPr>
          <w:rFonts w:ascii="Calibri" w:hAnsi="Calibri"/>
          <w:color w:val="000000"/>
          <w:sz w:val="22"/>
          <w:szCs w:val="22"/>
        </w:rPr>
        <w:t>the applicant will</w:t>
      </w:r>
      <w:r w:rsidR="00B404BA" w:rsidRPr="00412A49">
        <w:rPr>
          <w:rFonts w:ascii="Calibri" w:hAnsi="Calibri"/>
          <w:color w:val="000000"/>
          <w:sz w:val="22"/>
          <w:szCs w:val="22"/>
        </w:rPr>
        <w:t xml:space="preserve"> then be asked to stand and orally swear or affirm the </w:t>
      </w:r>
      <w:r w:rsidR="0031638E" w:rsidRPr="00412A49">
        <w:rPr>
          <w:rFonts w:ascii="Calibri" w:hAnsi="Calibri"/>
          <w:color w:val="000000"/>
          <w:sz w:val="22"/>
          <w:szCs w:val="22"/>
        </w:rPr>
        <w:t>oath</w:t>
      </w:r>
      <w:r w:rsidR="00B404BA" w:rsidRPr="00412A49">
        <w:rPr>
          <w:rFonts w:ascii="Calibri" w:hAnsi="Calibri"/>
          <w:color w:val="000000"/>
          <w:sz w:val="22"/>
          <w:szCs w:val="22"/>
        </w:rPr>
        <w:t xml:space="preserve"> before the Court.  </w:t>
      </w:r>
      <w:r w:rsidR="00CD512A">
        <w:rPr>
          <w:rFonts w:ascii="Calibri" w:hAnsi="Calibri"/>
          <w:color w:val="000000"/>
          <w:sz w:val="22"/>
          <w:szCs w:val="22"/>
        </w:rPr>
        <w:t>T</w:t>
      </w:r>
      <w:r w:rsidR="00B404BA" w:rsidRPr="00412A49">
        <w:rPr>
          <w:rFonts w:ascii="Calibri" w:hAnsi="Calibri"/>
          <w:color w:val="000000"/>
          <w:sz w:val="22"/>
          <w:szCs w:val="22"/>
        </w:rPr>
        <w:t xml:space="preserve">he oath </w:t>
      </w:r>
      <w:r w:rsidR="00CD512A">
        <w:rPr>
          <w:rFonts w:ascii="Calibri" w:hAnsi="Calibri"/>
          <w:color w:val="000000"/>
          <w:sz w:val="22"/>
          <w:szCs w:val="22"/>
        </w:rPr>
        <w:t>is signed by the applicant</w:t>
      </w:r>
      <w:r w:rsidR="00B404BA" w:rsidRPr="00412A49">
        <w:rPr>
          <w:rFonts w:ascii="Calibri" w:hAnsi="Calibri"/>
          <w:color w:val="000000"/>
          <w:sz w:val="22"/>
          <w:szCs w:val="22"/>
        </w:rPr>
        <w:t xml:space="preserve"> </w:t>
      </w:r>
      <w:r w:rsidR="00C05A1A" w:rsidRPr="00412A49">
        <w:rPr>
          <w:rFonts w:ascii="Calibri" w:hAnsi="Calibri"/>
          <w:color w:val="000000"/>
          <w:sz w:val="22"/>
          <w:szCs w:val="22"/>
        </w:rPr>
        <w:t xml:space="preserve">once </w:t>
      </w:r>
      <w:r w:rsidR="00B404BA" w:rsidRPr="00412A49">
        <w:rPr>
          <w:rFonts w:ascii="Calibri" w:hAnsi="Calibri"/>
          <w:color w:val="000000"/>
          <w:sz w:val="22"/>
          <w:szCs w:val="22"/>
        </w:rPr>
        <w:t>this is done.</w:t>
      </w:r>
    </w:p>
    <w:p w:rsidR="00B404BA" w:rsidRPr="00412A49" w:rsidRDefault="00FE7614" w:rsidP="008065E6">
      <w:pPr>
        <w:numPr>
          <w:ilvl w:val="0"/>
          <w:numId w:val="30"/>
        </w:numPr>
        <w:tabs>
          <w:tab w:val="clear" w:pos="720"/>
          <w:tab w:val="num" w:pos="1080"/>
        </w:tabs>
        <w:overflowPunct/>
        <w:autoSpaceDE/>
        <w:autoSpaceDN/>
        <w:adjustRightInd/>
        <w:spacing w:line="360" w:lineRule="auto"/>
        <w:ind w:left="1080"/>
        <w:textAlignment w:val="auto"/>
        <w:rPr>
          <w:rFonts w:ascii="Calibri" w:hAnsi="Calibri"/>
          <w:color w:val="000000"/>
          <w:sz w:val="22"/>
          <w:szCs w:val="22"/>
        </w:rPr>
      </w:pPr>
      <w:r w:rsidRPr="00412A49">
        <w:rPr>
          <w:rFonts w:ascii="Calibri" w:hAnsi="Calibri"/>
          <w:color w:val="000000"/>
          <w:sz w:val="22"/>
          <w:szCs w:val="22"/>
        </w:rPr>
        <w:t xml:space="preserve">The Judge will then </w:t>
      </w:r>
      <w:r w:rsidR="00CF1AD2" w:rsidRPr="00412A49">
        <w:rPr>
          <w:rFonts w:ascii="Calibri" w:hAnsi="Calibri"/>
          <w:color w:val="000000"/>
          <w:sz w:val="22"/>
          <w:szCs w:val="22"/>
        </w:rPr>
        <w:t xml:space="preserve">make </w:t>
      </w:r>
      <w:r w:rsidR="00C05A1A" w:rsidRPr="00412A49">
        <w:rPr>
          <w:rFonts w:ascii="Calibri" w:hAnsi="Calibri"/>
          <w:color w:val="000000"/>
          <w:sz w:val="22"/>
          <w:szCs w:val="22"/>
        </w:rPr>
        <w:t>the</w:t>
      </w:r>
      <w:r w:rsidR="00CF1AD2" w:rsidRPr="00412A49">
        <w:rPr>
          <w:rFonts w:ascii="Calibri" w:hAnsi="Calibri"/>
          <w:color w:val="000000"/>
          <w:sz w:val="22"/>
          <w:szCs w:val="22"/>
        </w:rPr>
        <w:t xml:space="preserve"> order</w:t>
      </w:r>
      <w:r w:rsidR="00CD512A">
        <w:rPr>
          <w:rFonts w:ascii="Calibri" w:hAnsi="Calibri"/>
          <w:color w:val="000000"/>
          <w:sz w:val="22"/>
          <w:szCs w:val="22"/>
        </w:rPr>
        <w:t xml:space="preserve"> admitting the applicant to the legal profession</w:t>
      </w:r>
      <w:r w:rsidRPr="00412A49">
        <w:rPr>
          <w:rFonts w:ascii="Calibri" w:hAnsi="Calibri"/>
          <w:color w:val="000000"/>
          <w:sz w:val="22"/>
          <w:szCs w:val="22"/>
        </w:rPr>
        <w:t>.</w:t>
      </w:r>
    </w:p>
    <w:p w:rsidR="006E3BFA" w:rsidRPr="00412A49" w:rsidRDefault="006E3BFA" w:rsidP="00AF54C7">
      <w:pPr>
        <w:spacing w:line="360" w:lineRule="auto"/>
        <w:rPr>
          <w:rFonts w:ascii="Calibri" w:hAnsi="Calibri"/>
          <w:b/>
          <w:color w:val="000000"/>
          <w:sz w:val="24"/>
          <w:szCs w:val="24"/>
        </w:rPr>
      </w:pPr>
    </w:p>
    <w:p w:rsidR="00961CF1" w:rsidRDefault="00961CF1" w:rsidP="00AF54C7">
      <w:pPr>
        <w:spacing w:line="360" w:lineRule="auto"/>
        <w:rPr>
          <w:rFonts w:ascii="Calibri" w:hAnsi="Calibri"/>
          <w:b/>
          <w:color w:val="000000"/>
          <w:sz w:val="28"/>
          <w:szCs w:val="28"/>
        </w:rPr>
      </w:pPr>
    </w:p>
    <w:p w:rsidR="00AF54C7" w:rsidRPr="00422143" w:rsidRDefault="00621CCC" w:rsidP="00AF54C7">
      <w:pPr>
        <w:spacing w:line="360" w:lineRule="auto"/>
        <w:rPr>
          <w:rFonts w:ascii="Calibri" w:hAnsi="Calibri"/>
          <w:b/>
          <w:color w:val="000000"/>
          <w:sz w:val="28"/>
          <w:szCs w:val="28"/>
        </w:rPr>
      </w:pPr>
      <w:r w:rsidRPr="00422143">
        <w:rPr>
          <w:rFonts w:ascii="Calibri" w:hAnsi="Calibri"/>
          <w:b/>
          <w:color w:val="000000"/>
          <w:sz w:val="28"/>
          <w:szCs w:val="28"/>
        </w:rPr>
        <w:t>A</w:t>
      </w:r>
      <w:r w:rsidR="00581364" w:rsidRPr="00422143">
        <w:rPr>
          <w:rFonts w:ascii="Calibri" w:hAnsi="Calibri"/>
          <w:b/>
          <w:color w:val="000000"/>
          <w:sz w:val="28"/>
          <w:szCs w:val="28"/>
        </w:rPr>
        <w:t xml:space="preserve">ffidavit </w:t>
      </w:r>
      <w:r w:rsidRPr="00422143">
        <w:rPr>
          <w:rFonts w:ascii="Calibri" w:hAnsi="Calibri"/>
          <w:b/>
          <w:color w:val="000000"/>
          <w:sz w:val="28"/>
          <w:szCs w:val="28"/>
        </w:rPr>
        <w:t>in support of the application for admission</w:t>
      </w:r>
      <w:r w:rsidR="00581364" w:rsidRPr="00422143">
        <w:rPr>
          <w:rFonts w:ascii="Calibri" w:hAnsi="Calibri"/>
          <w:b/>
          <w:color w:val="000000"/>
          <w:sz w:val="28"/>
          <w:szCs w:val="28"/>
        </w:rPr>
        <w:t xml:space="preserve"> </w:t>
      </w:r>
    </w:p>
    <w:p w:rsidR="00AF54C7" w:rsidRPr="00412A49" w:rsidRDefault="00AF54C7"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af</w:t>
      </w:r>
      <w:r w:rsidR="005C7A7B" w:rsidRPr="00412A49">
        <w:rPr>
          <w:rFonts w:ascii="Calibri" w:hAnsi="Calibri"/>
          <w:color w:val="000000"/>
          <w:sz w:val="22"/>
          <w:szCs w:val="22"/>
        </w:rPr>
        <w:t>fidavit of the applicant provides a</w:t>
      </w:r>
      <w:r w:rsidRPr="00412A49">
        <w:rPr>
          <w:rFonts w:ascii="Calibri" w:hAnsi="Calibri"/>
          <w:color w:val="000000"/>
          <w:sz w:val="22"/>
          <w:szCs w:val="22"/>
        </w:rPr>
        <w:t xml:space="preserve"> major part of the evidence upon which the Court </w:t>
      </w:r>
      <w:r w:rsidR="005C7A7B" w:rsidRPr="00412A49">
        <w:rPr>
          <w:rFonts w:ascii="Calibri" w:hAnsi="Calibri"/>
          <w:color w:val="000000"/>
          <w:sz w:val="22"/>
          <w:szCs w:val="22"/>
        </w:rPr>
        <w:t xml:space="preserve">reaches </w:t>
      </w:r>
      <w:r w:rsidR="00F93451" w:rsidRPr="00412A49">
        <w:rPr>
          <w:rFonts w:ascii="Calibri" w:hAnsi="Calibri"/>
          <w:color w:val="000000"/>
          <w:sz w:val="22"/>
          <w:szCs w:val="22"/>
        </w:rPr>
        <w:t xml:space="preserve">its </w:t>
      </w:r>
      <w:r w:rsidR="005C7A7B" w:rsidRPr="00412A49">
        <w:rPr>
          <w:rFonts w:ascii="Calibri" w:hAnsi="Calibri"/>
          <w:color w:val="000000"/>
          <w:sz w:val="22"/>
          <w:szCs w:val="22"/>
        </w:rPr>
        <w:t xml:space="preserve">determination that the applicant is eligible and suitable for admission.   </w:t>
      </w:r>
      <w:r w:rsidRPr="00412A49">
        <w:rPr>
          <w:rFonts w:ascii="Calibri" w:hAnsi="Calibri"/>
          <w:color w:val="000000"/>
          <w:sz w:val="22"/>
          <w:szCs w:val="22"/>
        </w:rPr>
        <w:t xml:space="preserve">  </w:t>
      </w:r>
    </w:p>
    <w:p w:rsidR="000F18DB" w:rsidRDefault="000F18DB" w:rsidP="0086060B">
      <w:pPr>
        <w:overflowPunct/>
        <w:autoSpaceDE/>
        <w:autoSpaceDN/>
        <w:adjustRightInd/>
        <w:spacing w:line="360" w:lineRule="auto"/>
        <w:textAlignment w:val="auto"/>
        <w:rPr>
          <w:rFonts w:ascii="Calibri" w:hAnsi="Calibri"/>
          <w:color w:val="000000"/>
          <w:sz w:val="22"/>
          <w:szCs w:val="22"/>
        </w:rPr>
      </w:pPr>
    </w:p>
    <w:p w:rsidR="00506E45" w:rsidRPr="00412A49" w:rsidRDefault="00DE1F9B"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The form for the affidavit is form 57BB</w:t>
      </w:r>
      <w:r w:rsidR="004312BE" w:rsidRPr="00412A49">
        <w:rPr>
          <w:rFonts w:ascii="Calibri" w:hAnsi="Calibri"/>
          <w:color w:val="000000"/>
          <w:sz w:val="22"/>
          <w:szCs w:val="22"/>
        </w:rPr>
        <w:t xml:space="preserve"> of the </w:t>
      </w:r>
      <w:r w:rsidR="004312BE" w:rsidRPr="00412A49">
        <w:rPr>
          <w:rFonts w:ascii="Calibri" w:hAnsi="Calibri"/>
          <w:i/>
          <w:color w:val="000000"/>
          <w:sz w:val="22"/>
          <w:szCs w:val="22"/>
        </w:rPr>
        <w:t>Supreme Court Forms Rules 2000</w:t>
      </w:r>
      <w:r w:rsidRPr="00412A49">
        <w:rPr>
          <w:rFonts w:ascii="Calibri" w:hAnsi="Calibri"/>
          <w:color w:val="000000"/>
          <w:sz w:val="22"/>
          <w:szCs w:val="22"/>
        </w:rPr>
        <w:t xml:space="preserve">.  The form lists </w:t>
      </w:r>
      <w:r w:rsidR="00230F5F" w:rsidRPr="00412A49">
        <w:rPr>
          <w:rFonts w:ascii="Calibri" w:hAnsi="Calibri"/>
          <w:color w:val="000000"/>
          <w:sz w:val="22"/>
          <w:szCs w:val="22"/>
        </w:rPr>
        <w:t xml:space="preserve">a number of </w:t>
      </w:r>
      <w:r w:rsidRPr="00412A49">
        <w:rPr>
          <w:rFonts w:ascii="Calibri" w:hAnsi="Calibri"/>
          <w:color w:val="000000"/>
          <w:sz w:val="22"/>
          <w:szCs w:val="22"/>
        </w:rPr>
        <w:t xml:space="preserve">paragraphs and suggests the wording of these.    The content of your affidavit may suit some variation in wording, or a larger number of paragraphs. </w:t>
      </w:r>
    </w:p>
    <w:p w:rsidR="000F18DB" w:rsidRDefault="000F18DB" w:rsidP="0086060B">
      <w:pPr>
        <w:overflowPunct/>
        <w:autoSpaceDE/>
        <w:autoSpaceDN/>
        <w:adjustRightInd/>
        <w:spacing w:line="360" w:lineRule="auto"/>
        <w:textAlignment w:val="auto"/>
        <w:rPr>
          <w:rFonts w:ascii="Calibri" w:hAnsi="Calibri"/>
          <w:color w:val="000000"/>
          <w:sz w:val="22"/>
          <w:szCs w:val="22"/>
        </w:rPr>
      </w:pPr>
    </w:p>
    <w:p w:rsidR="00AF54C7" w:rsidRPr="00412A49" w:rsidRDefault="00AF54C7"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affidavit provides evidence of the applicant’s eligibility for admission (that they have the academic qualifications and have completed the practical legal training requirements) by referring to and annexing a certificate of eligibility from the Board. </w:t>
      </w:r>
    </w:p>
    <w:p w:rsidR="000F18DB" w:rsidRDefault="000F18DB" w:rsidP="0086060B">
      <w:pPr>
        <w:overflowPunct/>
        <w:autoSpaceDE/>
        <w:autoSpaceDN/>
        <w:adjustRightInd/>
        <w:spacing w:line="360" w:lineRule="auto"/>
        <w:textAlignment w:val="auto"/>
        <w:rPr>
          <w:rFonts w:ascii="Calibri" w:hAnsi="Calibri"/>
          <w:color w:val="000000"/>
          <w:sz w:val="22"/>
          <w:szCs w:val="22"/>
        </w:rPr>
      </w:pPr>
    </w:p>
    <w:p w:rsidR="005C7A7B" w:rsidRPr="00412A49" w:rsidRDefault="00AF54C7"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affidavit provides evidence that the applicant is a fit and proper person for admission.  In so doing the applicant must </w:t>
      </w:r>
      <w:r w:rsidR="005C7A7B" w:rsidRPr="00412A49">
        <w:rPr>
          <w:rFonts w:ascii="Calibri" w:hAnsi="Calibri"/>
          <w:color w:val="000000"/>
          <w:sz w:val="22"/>
          <w:szCs w:val="22"/>
        </w:rPr>
        <w:t xml:space="preserve">address the suitability matters, </w:t>
      </w:r>
      <w:r w:rsidRPr="00412A49">
        <w:rPr>
          <w:rFonts w:ascii="Calibri" w:hAnsi="Calibri"/>
          <w:color w:val="000000"/>
          <w:sz w:val="22"/>
          <w:szCs w:val="22"/>
        </w:rPr>
        <w:t>the relevant matters</w:t>
      </w:r>
      <w:r w:rsidR="005C7A7B" w:rsidRPr="00412A49">
        <w:rPr>
          <w:rFonts w:ascii="Calibri" w:hAnsi="Calibri"/>
          <w:color w:val="000000"/>
          <w:sz w:val="22"/>
          <w:szCs w:val="22"/>
        </w:rPr>
        <w:t xml:space="preserve"> and must indicate whether or not they are aware of any objections to their application for admission</w:t>
      </w:r>
      <w:r w:rsidRPr="00412A49">
        <w:rPr>
          <w:rFonts w:ascii="Calibri" w:hAnsi="Calibri"/>
          <w:color w:val="000000"/>
          <w:sz w:val="22"/>
          <w:szCs w:val="22"/>
        </w:rPr>
        <w:t xml:space="preserve">.  </w:t>
      </w:r>
    </w:p>
    <w:p w:rsidR="00100182" w:rsidRPr="00412A49" w:rsidRDefault="00100182" w:rsidP="005C7A7B">
      <w:pPr>
        <w:overflowPunct/>
        <w:autoSpaceDE/>
        <w:autoSpaceDN/>
        <w:adjustRightInd/>
        <w:spacing w:line="360" w:lineRule="auto"/>
        <w:textAlignment w:val="auto"/>
        <w:rPr>
          <w:rFonts w:ascii="Calibri" w:hAnsi="Calibri"/>
          <w:color w:val="000000"/>
          <w:sz w:val="22"/>
          <w:szCs w:val="22"/>
          <w:u w:val="single"/>
        </w:rPr>
      </w:pPr>
    </w:p>
    <w:p w:rsidR="005C7A7B" w:rsidRPr="000843B0" w:rsidRDefault="005C7A7B" w:rsidP="005C7A7B">
      <w:pPr>
        <w:overflowPunct/>
        <w:autoSpaceDE/>
        <w:autoSpaceDN/>
        <w:adjustRightInd/>
        <w:spacing w:line="360" w:lineRule="auto"/>
        <w:textAlignment w:val="auto"/>
        <w:rPr>
          <w:rFonts w:ascii="Calibri" w:hAnsi="Calibri"/>
          <w:b/>
          <w:i/>
          <w:color w:val="000000"/>
          <w:sz w:val="24"/>
          <w:szCs w:val="24"/>
        </w:rPr>
      </w:pPr>
      <w:r w:rsidRPr="000843B0">
        <w:rPr>
          <w:rFonts w:ascii="Calibri" w:hAnsi="Calibri"/>
          <w:b/>
          <w:i/>
          <w:color w:val="000000"/>
          <w:sz w:val="24"/>
          <w:szCs w:val="24"/>
        </w:rPr>
        <w:t>Suitability matters:</w:t>
      </w:r>
    </w:p>
    <w:p w:rsidR="00AF54C7" w:rsidRPr="00412A49" w:rsidRDefault="00AF54C7"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Rule 783AE (1) of the </w:t>
      </w:r>
      <w:r w:rsidRPr="00412A49">
        <w:rPr>
          <w:rFonts w:ascii="Calibri" w:hAnsi="Calibri"/>
          <w:i/>
          <w:color w:val="000000"/>
          <w:sz w:val="22"/>
          <w:szCs w:val="22"/>
        </w:rPr>
        <w:t>Supreme Court Rules 2000</w:t>
      </w:r>
      <w:r w:rsidRPr="00412A49">
        <w:rPr>
          <w:rFonts w:ascii="Calibri" w:hAnsi="Calibri"/>
          <w:color w:val="000000"/>
          <w:sz w:val="22"/>
          <w:szCs w:val="22"/>
        </w:rPr>
        <w:t xml:space="preserve"> requires the applicant to address </w:t>
      </w:r>
      <w:r w:rsidRPr="00412A49">
        <w:rPr>
          <w:rFonts w:ascii="Calibri" w:hAnsi="Calibri"/>
          <w:b/>
          <w:color w:val="000000"/>
          <w:sz w:val="22"/>
          <w:szCs w:val="22"/>
        </w:rPr>
        <w:t>each</w:t>
      </w:r>
      <w:r w:rsidRPr="00412A49">
        <w:rPr>
          <w:rFonts w:ascii="Calibri" w:hAnsi="Calibri"/>
          <w:color w:val="000000"/>
          <w:sz w:val="22"/>
          <w:szCs w:val="22"/>
        </w:rPr>
        <w:t xml:space="preserve"> of the suitability matters listed in section 9 of the </w:t>
      </w:r>
      <w:r w:rsidR="0037250D" w:rsidRPr="00AA6D47">
        <w:rPr>
          <w:rFonts w:ascii="Calibri" w:hAnsi="Calibri"/>
          <w:i/>
          <w:color w:val="000000"/>
          <w:sz w:val="22"/>
          <w:szCs w:val="22"/>
        </w:rPr>
        <w:t xml:space="preserve">Legal Profession </w:t>
      </w:r>
      <w:r w:rsidRPr="00AA6D47">
        <w:rPr>
          <w:rFonts w:ascii="Calibri" w:hAnsi="Calibri"/>
          <w:i/>
          <w:color w:val="000000"/>
          <w:sz w:val="22"/>
          <w:szCs w:val="22"/>
        </w:rPr>
        <w:t>Act</w:t>
      </w:r>
      <w:r w:rsidR="0037250D" w:rsidRPr="00AA6D47">
        <w:rPr>
          <w:rFonts w:ascii="Calibri" w:hAnsi="Calibri"/>
          <w:i/>
          <w:color w:val="000000"/>
          <w:sz w:val="22"/>
          <w:szCs w:val="22"/>
        </w:rPr>
        <w:t xml:space="preserve"> 2007</w:t>
      </w:r>
      <w:r w:rsidRPr="00412A49">
        <w:rPr>
          <w:rFonts w:ascii="Calibri" w:hAnsi="Calibri"/>
          <w:color w:val="000000"/>
          <w:sz w:val="22"/>
          <w:szCs w:val="22"/>
        </w:rPr>
        <w:t>.  It is not sufficient to say for example:</w:t>
      </w:r>
    </w:p>
    <w:p w:rsidR="00AF54C7" w:rsidRPr="0088037E" w:rsidRDefault="00AF54C7" w:rsidP="006C042B">
      <w:pPr>
        <w:numPr>
          <w:ilvl w:val="0"/>
          <w:numId w:val="14"/>
        </w:numPr>
        <w:overflowPunct/>
        <w:autoSpaceDE/>
        <w:autoSpaceDN/>
        <w:adjustRightInd/>
        <w:spacing w:line="360" w:lineRule="auto"/>
        <w:ind w:right="575"/>
        <w:textAlignment w:val="auto"/>
        <w:rPr>
          <w:rFonts w:ascii="Calibri" w:hAnsi="Calibri"/>
          <w:color w:val="000000"/>
          <w:sz w:val="22"/>
          <w:szCs w:val="22"/>
        </w:rPr>
      </w:pPr>
      <w:r w:rsidRPr="0088037E">
        <w:rPr>
          <w:rFonts w:ascii="Calibri" w:hAnsi="Calibri"/>
          <w:color w:val="000000"/>
          <w:sz w:val="22"/>
          <w:szCs w:val="22"/>
        </w:rPr>
        <w:t xml:space="preserve">“I have no suitability matters to disclose”; or </w:t>
      </w:r>
    </w:p>
    <w:p w:rsidR="00AF54C7" w:rsidRPr="0088037E" w:rsidRDefault="00AF54C7" w:rsidP="006C042B">
      <w:pPr>
        <w:numPr>
          <w:ilvl w:val="0"/>
          <w:numId w:val="14"/>
        </w:numPr>
        <w:overflowPunct/>
        <w:autoSpaceDE/>
        <w:autoSpaceDN/>
        <w:adjustRightInd/>
        <w:spacing w:line="360" w:lineRule="auto"/>
        <w:ind w:right="575"/>
        <w:textAlignment w:val="auto"/>
        <w:rPr>
          <w:rFonts w:ascii="Calibri" w:hAnsi="Calibri"/>
          <w:color w:val="000000"/>
          <w:sz w:val="22"/>
          <w:szCs w:val="22"/>
        </w:rPr>
      </w:pPr>
      <w:r w:rsidRPr="0088037E">
        <w:rPr>
          <w:rFonts w:ascii="Calibri" w:hAnsi="Calibri"/>
          <w:color w:val="000000"/>
          <w:sz w:val="22"/>
          <w:szCs w:val="22"/>
        </w:rPr>
        <w:t xml:space="preserve">“I have no suitability matters to disclose other than a conviction for fraud”. </w:t>
      </w:r>
    </w:p>
    <w:p w:rsidR="00AF54C7" w:rsidRPr="00412A49" w:rsidRDefault="00AF54C7" w:rsidP="0086060B">
      <w:pPr>
        <w:pStyle w:val="NormalWeb"/>
        <w:spacing w:before="0" w:beforeAutospacing="0" w:after="0" w:afterAutospacing="0" w:line="360" w:lineRule="auto"/>
        <w:rPr>
          <w:rFonts w:ascii="Calibri" w:hAnsi="Calibri"/>
          <w:color w:val="000000"/>
          <w:sz w:val="20"/>
          <w:szCs w:val="20"/>
        </w:rPr>
      </w:pPr>
      <w:r w:rsidRPr="00412A49">
        <w:rPr>
          <w:rFonts w:ascii="Calibri" w:hAnsi="Calibri"/>
          <w:color w:val="000000"/>
          <w:sz w:val="22"/>
          <w:szCs w:val="22"/>
        </w:rPr>
        <w:t xml:space="preserve">The applicant must address </w:t>
      </w:r>
      <w:r w:rsidRPr="00412A49">
        <w:rPr>
          <w:rFonts w:ascii="Calibri" w:hAnsi="Calibri"/>
          <w:b/>
          <w:color w:val="000000"/>
          <w:sz w:val="22"/>
          <w:szCs w:val="22"/>
        </w:rPr>
        <w:t>every</w:t>
      </w:r>
      <w:r w:rsidRPr="00412A49">
        <w:rPr>
          <w:rFonts w:ascii="Calibri" w:hAnsi="Calibri"/>
          <w:color w:val="000000"/>
          <w:sz w:val="22"/>
          <w:szCs w:val="22"/>
        </w:rPr>
        <w:t xml:space="preserve"> suitability matter and also </w:t>
      </w:r>
      <w:r w:rsidRPr="00412A49">
        <w:rPr>
          <w:rFonts w:ascii="Calibri" w:hAnsi="Calibri"/>
          <w:b/>
          <w:color w:val="000000"/>
          <w:sz w:val="22"/>
          <w:szCs w:val="22"/>
        </w:rPr>
        <w:t>explain</w:t>
      </w:r>
      <w:r w:rsidRPr="00412A49">
        <w:rPr>
          <w:rFonts w:ascii="Calibri" w:hAnsi="Calibri"/>
          <w:color w:val="000000"/>
          <w:sz w:val="22"/>
          <w:szCs w:val="22"/>
        </w:rPr>
        <w:t xml:space="preserve"> any matters that are disclosed.  In the case of criminal convictions, section 9 of the </w:t>
      </w:r>
      <w:r w:rsidR="000203E5" w:rsidRPr="000203E5">
        <w:rPr>
          <w:rFonts w:ascii="Calibri" w:hAnsi="Calibri"/>
          <w:i/>
          <w:color w:val="000000"/>
          <w:sz w:val="22"/>
          <w:szCs w:val="22"/>
        </w:rPr>
        <w:t xml:space="preserve">Legal Profession </w:t>
      </w:r>
      <w:r w:rsidRPr="000203E5">
        <w:rPr>
          <w:rFonts w:ascii="Calibri" w:hAnsi="Calibri"/>
          <w:i/>
          <w:color w:val="000000"/>
          <w:sz w:val="22"/>
          <w:szCs w:val="22"/>
        </w:rPr>
        <w:t xml:space="preserve">Act </w:t>
      </w:r>
      <w:r w:rsidR="000203E5" w:rsidRPr="000203E5">
        <w:rPr>
          <w:rFonts w:ascii="Calibri" w:hAnsi="Calibri"/>
          <w:i/>
          <w:color w:val="000000"/>
          <w:sz w:val="22"/>
          <w:szCs w:val="22"/>
        </w:rPr>
        <w:t xml:space="preserve">2007 </w:t>
      </w:r>
      <w:r w:rsidRPr="00412A49">
        <w:rPr>
          <w:rFonts w:ascii="Calibri" w:hAnsi="Calibri"/>
          <w:color w:val="000000"/>
          <w:sz w:val="22"/>
          <w:szCs w:val="22"/>
        </w:rPr>
        <w:lastRenderedPageBreak/>
        <w:t xml:space="preserve">requires that the applicant disclose the nature of the offence, how long ago it was committed and their age when the offence was committed. </w:t>
      </w:r>
      <w:r w:rsidRPr="00412A49">
        <w:rPr>
          <w:rFonts w:ascii="Calibri" w:hAnsi="Calibri"/>
          <w:color w:val="000000"/>
          <w:sz w:val="20"/>
          <w:szCs w:val="20"/>
        </w:rPr>
        <w:t xml:space="preserve"> </w:t>
      </w:r>
    </w:p>
    <w:p w:rsidR="00E73699" w:rsidRDefault="00E73699" w:rsidP="0086060B">
      <w:pPr>
        <w:overflowPunct/>
        <w:autoSpaceDE/>
        <w:autoSpaceDN/>
        <w:adjustRightInd/>
        <w:spacing w:line="360" w:lineRule="auto"/>
        <w:textAlignment w:val="auto"/>
        <w:rPr>
          <w:rFonts w:ascii="Calibri" w:hAnsi="Calibri"/>
          <w:color w:val="000000"/>
          <w:sz w:val="22"/>
          <w:szCs w:val="22"/>
        </w:rPr>
      </w:pPr>
    </w:p>
    <w:p w:rsidR="00AF54C7" w:rsidRPr="00412A49" w:rsidRDefault="00637FE4"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An example of the way in which the suitability matters listed in paragraphs (a) to (f) of section 9(1) of the Act might be addressed is</w:t>
      </w:r>
      <w:r w:rsidR="00AF54C7" w:rsidRPr="00412A49">
        <w:rPr>
          <w:rFonts w:ascii="Calibri" w:hAnsi="Calibri"/>
          <w:color w:val="000000"/>
          <w:sz w:val="22"/>
          <w:szCs w:val="22"/>
        </w:rPr>
        <w:t>:</w:t>
      </w:r>
    </w:p>
    <w:p w:rsidR="00AF54C7" w:rsidRPr="00DD54F3" w:rsidRDefault="00AF54C7" w:rsidP="00DD54F3">
      <w:pPr>
        <w:numPr>
          <w:ilvl w:val="0"/>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I am of good fame and character.</w:t>
      </w:r>
    </w:p>
    <w:p w:rsidR="00AF54C7" w:rsidRPr="00DD54F3" w:rsidRDefault="00AF54C7" w:rsidP="00DD54F3">
      <w:pPr>
        <w:numPr>
          <w:ilvl w:val="0"/>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I have not been insolvent under administration.</w:t>
      </w:r>
    </w:p>
    <w:p w:rsidR="00AF54C7" w:rsidRPr="00DD54F3" w:rsidRDefault="00AF54C7" w:rsidP="00DD54F3">
      <w:pPr>
        <w:numPr>
          <w:ilvl w:val="0"/>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 xml:space="preserve">Some matters appear on my record of prior convictions referred to </w:t>
      </w:r>
      <w:proofErr w:type="spellStart"/>
      <w:r w:rsidRPr="00DD54F3">
        <w:rPr>
          <w:rFonts w:ascii="Calibri" w:hAnsi="Calibri"/>
          <w:color w:val="000000"/>
          <w:sz w:val="22"/>
          <w:szCs w:val="22"/>
        </w:rPr>
        <w:t>at</w:t>
      </w:r>
      <w:proofErr w:type="spellEnd"/>
      <w:r w:rsidRPr="00DD54F3">
        <w:rPr>
          <w:rFonts w:ascii="Calibri" w:hAnsi="Calibri"/>
          <w:color w:val="000000"/>
          <w:sz w:val="22"/>
          <w:szCs w:val="22"/>
        </w:rPr>
        <w:t xml:space="preserve"> paragraph ( ) and forming annexure C. </w:t>
      </w:r>
    </w:p>
    <w:p w:rsidR="00AF54C7" w:rsidRPr="00DD54F3" w:rsidRDefault="00AF54C7" w:rsidP="00DD54F3">
      <w:pPr>
        <w:overflowPunct/>
        <w:autoSpaceDE/>
        <w:autoSpaceDN/>
        <w:adjustRightInd/>
        <w:ind w:left="900"/>
        <w:textAlignment w:val="auto"/>
        <w:rPr>
          <w:rFonts w:ascii="Calibri" w:hAnsi="Calibri"/>
          <w:color w:val="000000"/>
          <w:sz w:val="22"/>
          <w:szCs w:val="22"/>
        </w:rPr>
      </w:pPr>
      <w:r w:rsidRPr="00DD54F3">
        <w:rPr>
          <w:rFonts w:ascii="Calibri" w:hAnsi="Calibri"/>
          <w:color w:val="000000"/>
          <w:sz w:val="22"/>
          <w:szCs w:val="22"/>
        </w:rPr>
        <w:t xml:space="preserve"> </w:t>
      </w:r>
    </w:p>
    <w:p w:rsidR="00AF54C7" w:rsidRPr="00DD54F3" w:rsidRDefault="00AF54C7" w:rsidP="00DD54F3">
      <w:pPr>
        <w:numPr>
          <w:ilvl w:val="1"/>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 xml:space="preserve">I was convicted with failing to obey the direction of a police officer in 2001.  This offence appears on my record of prior convictions (attachment C) on page one, complaint number ().  I was 22 at the time of the offence. I pleaded guilty to the charge on (date). The matter was adjourned and no conviction was recorded.  The offence related to my attendance at a protest rally in the grassy area in front of Parliament House in </w:t>
      </w:r>
      <w:smartTag w:uri="urn:schemas-microsoft-com:office:smarttags" w:element="State">
        <w:smartTag w:uri="urn:schemas-microsoft-com:office:smarttags" w:element="place">
          <w:r w:rsidRPr="00DD54F3">
            <w:rPr>
              <w:rFonts w:ascii="Calibri" w:hAnsi="Calibri"/>
              <w:color w:val="000000"/>
              <w:sz w:val="22"/>
              <w:szCs w:val="22"/>
            </w:rPr>
            <w:t>Tasmania</w:t>
          </w:r>
        </w:smartTag>
      </w:smartTag>
      <w:r w:rsidRPr="00DD54F3">
        <w:rPr>
          <w:rFonts w:ascii="Calibri" w:hAnsi="Calibri"/>
          <w:color w:val="000000"/>
          <w:sz w:val="22"/>
          <w:szCs w:val="22"/>
        </w:rPr>
        <w:t xml:space="preserve">.  The rally was protesting about old growth logging. I was leading a chant through a loud hailer. I was arrested along with a number of other people. Apart from refusing to leave the steps outside Parliament House when directed by police I did not commit any other unlawful act.  I did not resist my arrest.  </w:t>
      </w:r>
    </w:p>
    <w:p w:rsidR="00AF54C7" w:rsidRPr="00DD54F3" w:rsidRDefault="00AF54C7" w:rsidP="00DD54F3">
      <w:pPr>
        <w:numPr>
          <w:ilvl w:val="1"/>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 xml:space="preserve">I was convicted of fraud in 2003.  This offence appears on my record of prior convictions (attachment C) on page one, complaint number (). I was 24 at the time.  I pleaded guilty to the charge on (date).  A conviction was recorded and I was ordered to </w:t>
      </w:r>
      <w:r w:rsidR="00F93451" w:rsidRPr="00DD54F3">
        <w:rPr>
          <w:rFonts w:ascii="Calibri" w:hAnsi="Calibri"/>
          <w:color w:val="000000"/>
          <w:sz w:val="22"/>
          <w:szCs w:val="22"/>
        </w:rPr>
        <w:t xml:space="preserve">perform </w:t>
      </w:r>
      <w:r w:rsidRPr="00DD54F3">
        <w:rPr>
          <w:rFonts w:ascii="Calibri" w:hAnsi="Calibri"/>
          <w:color w:val="000000"/>
          <w:sz w:val="22"/>
          <w:szCs w:val="22"/>
        </w:rPr>
        <w:t xml:space="preserve">20 hours of community service.  The fraud related to an overpayment of $2343.00 from </w:t>
      </w:r>
      <w:proofErr w:type="spellStart"/>
      <w:r w:rsidRPr="00DD54F3">
        <w:rPr>
          <w:rFonts w:ascii="Calibri" w:hAnsi="Calibri"/>
          <w:color w:val="000000"/>
          <w:sz w:val="22"/>
          <w:szCs w:val="22"/>
        </w:rPr>
        <w:t>Centrelink</w:t>
      </w:r>
      <w:proofErr w:type="spellEnd"/>
      <w:r w:rsidRPr="00DD54F3">
        <w:rPr>
          <w:rFonts w:ascii="Calibri" w:hAnsi="Calibri"/>
          <w:color w:val="000000"/>
          <w:sz w:val="22"/>
          <w:szCs w:val="22"/>
        </w:rPr>
        <w:t xml:space="preserve"> which gradually accrued over fourteen months. I was attending University at the time.  I did not tell </w:t>
      </w:r>
      <w:proofErr w:type="spellStart"/>
      <w:r w:rsidRPr="00DD54F3">
        <w:rPr>
          <w:rFonts w:ascii="Calibri" w:hAnsi="Calibri"/>
          <w:color w:val="000000"/>
          <w:sz w:val="22"/>
          <w:szCs w:val="22"/>
        </w:rPr>
        <w:t>Centrelink</w:t>
      </w:r>
      <w:proofErr w:type="spellEnd"/>
      <w:r w:rsidRPr="00DD54F3">
        <w:rPr>
          <w:rFonts w:ascii="Calibri" w:hAnsi="Calibri"/>
          <w:color w:val="000000"/>
          <w:sz w:val="22"/>
          <w:szCs w:val="22"/>
        </w:rPr>
        <w:t xml:space="preserve"> that the boy who had been my flat-mate became my boyfriend.  My boy-friend didn’t want me to tell </w:t>
      </w:r>
      <w:proofErr w:type="spellStart"/>
      <w:r w:rsidRPr="00DD54F3">
        <w:rPr>
          <w:rFonts w:ascii="Calibri" w:hAnsi="Calibri"/>
          <w:color w:val="000000"/>
          <w:sz w:val="22"/>
          <w:szCs w:val="22"/>
        </w:rPr>
        <w:t>Centrelink</w:t>
      </w:r>
      <w:proofErr w:type="spellEnd"/>
      <w:r w:rsidRPr="00DD54F3">
        <w:rPr>
          <w:rFonts w:ascii="Calibri" w:hAnsi="Calibri"/>
          <w:color w:val="000000"/>
          <w:sz w:val="22"/>
          <w:szCs w:val="22"/>
        </w:rPr>
        <w:t xml:space="preserve"> because he didn’t want his payments to be reduced.  I didn’t really realize the seriousness of not telling them at the time.  I was also </w:t>
      </w:r>
      <w:r w:rsidR="00F93451" w:rsidRPr="00DD54F3">
        <w:rPr>
          <w:rFonts w:ascii="Calibri" w:hAnsi="Calibri"/>
          <w:color w:val="000000"/>
          <w:sz w:val="22"/>
          <w:szCs w:val="22"/>
        </w:rPr>
        <w:t xml:space="preserve">working </w:t>
      </w:r>
      <w:r w:rsidRPr="00DD54F3">
        <w:rPr>
          <w:rFonts w:ascii="Calibri" w:hAnsi="Calibri"/>
          <w:color w:val="000000"/>
          <w:sz w:val="22"/>
          <w:szCs w:val="22"/>
        </w:rPr>
        <w:t xml:space="preserve">hard with my studies and had reduced my part-time work hours to better focus on my degree and therefore needed the money. I now realize this was the wrong thing to do.  I have repaid all of the money personally. </w:t>
      </w:r>
    </w:p>
    <w:p w:rsidR="00AF54C7" w:rsidRPr="00DD54F3" w:rsidRDefault="00AF54C7" w:rsidP="00DD54F3">
      <w:pPr>
        <w:numPr>
          <w:ilvl w:val="1"/>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 xml:space="preserve">I have received two traffic infringement notices for exceeding the speed limit by between 5 and 10 km per hour in an 80 km per hour zone.  These appear at page one of my record of prior convictions (attachment C).  I was 30 at the time of these infringements. I paid the fines relating to these offences.  Both infringement notices were obtained in the course of driving to my place of work on different days. The road was dry and the visibility good on both occasions.  I was running late for work. </w:t>
      </w:r>
    </w:p>
    <w:p w:rsidR="00AF54C7" w:rsidRPr="00DD54F3" w:rsidRDefault="00AF54C7" w:rsidP="00DD54F3">
      <w:pPr>
        <w:numPr>
          <w:ilvl w:val="0"/>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 xml:space="preserve">I have never engaged in legal practice in </w:t>
      </w:r>
      <w:smartTag w:uri="urn:schemas-microsoft-com:office:smarttags" w:element="country-region">
        <w:smartTag w:uri="urn:schemas-microsoft-com:office:smarttags" w:element="place">
          <w:r w:rsidRPr="00DD54F3">
            <w:rPr>
              <w:rFonts w:ascii="Calibri" w:hAnsi="Calibri"/>
              <w:color w:val="000000"/>
              <w:sz w:val="22"/>
              <w:szCs w:val="22"/>
            </w:rPr>
            <w:t>Australia</w:t>
          </w:r>
        </w:smartTag>
      </w:smartTag>
      <w:r w:rsidRPr="00DD54F3">
        <w:rPr>
          <w:rFonts w:ascii="Calibri" w:hAnsi="Calibri"/>
          <w:color w:val="000000"/>
          <w:sz w:val="22"/>
          <w:szCs w:val="22"/>
        </w:rPr>
        <w:t>.</w:t>
      </w:r>
    </w:p>
    <w:p w:rsidR="00AF54C7" w:rsidRPr="00DD54F3" w:rsidRDefault="00AF54C7" w:rsidP="00DD54F3">
      <w:pPr>
        <w:numPr>
          <w:ilvl w:val="0"/>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t>I have never practiced law in a foreign country.</w:t>
      </w:r>
    </w:p>
    <w:p w:rsidR="00AF54C7" w:rsidRPr="00DD54F3" w:rsidRDefault="00AF54C7" w:rsidP="00DD54F3">
      <w:pPr>
        <w:numPr>
          <w:ilvl w:val="0"/>
          <w:numId w:val="13"/>
        </w:numPr>
        <w:overflowPunct/>
        <w:autoSpaceDE/>
        <w:autoSpaceDN/>
        <w:adjustRightInd/>
        <w:textAlignment w:val="auto"/>
        <w:rPr>
          <w:rFonts w:ascii="Calibri" w:hAnsi="Calibri"/>
          <w:color w:val="000000"/>
          <w:sz w:val="22"/>
          <w:szCs w:val="22"/>
        </w:rPr>
      </w:pPr>
      <w:r w:rsidRPr="00DD54F3">
        <w:rPr>
          <w:rFonts w:ascii="Calibri" w:hAnsi="Calibri"/>
          <w:color w:val="000000"/>
          <w:sz w:val="22"/>
          <w:szCs w:val="22"/>
        </w:rPr>
        <w:lastRenderedPageBreak/>
        <w:t>To my knowledge I am not the subject of an unresolved complaint, investigation, charge or order under the Legal Profession Act 2007, or a previous law of this jurisdiction that corresponds to the Legal Profession Act 2007 or any corresponding law or corresponding foreign law.</w:t>
      </w:r>
    </w:p>
    <w:p w:rsidR="00336862" w:rsidRPr="00412A49" w:rsidRDefault="00336862" w:rsidP="00336862">
      <w:pPr>
        <w:overflowPunct/>
        <w:autoSpaceDE/>
        <w:autoSpaceDN/>
        <w:adjustRightInd/>
        <w:spacing w:line="360" w:lineRule="auto"/>
        <w:textAlignment w:val="auto"/>
        <w:rPr>
          <w:rFonts w:ascii="Calibri" w:hAnsi="Calibri"/>
          <w:i/>
          <w:color w:val="000000"/>
          <w:sz w:val="20"/>
        </w:rPr>
      </w:pPr>
      <w:r w:rsidRPr="00412A49">
        <w:rPr>
          <w:rFonts w:ascii="Calibri" w:hAnsi="Calibri"/>
          <w:color w:val="000000"/>
          <w:sz w:val="18"/>
        </w:rPr>
        <w:t xml:space="preserve">               [and </w:t>
      </w:r>
      <w:r w:rsidR="00CD512A">
        <w:rPr>
          <w:rFonts w:ascii="Calibri" w:hAnsi="Calibri"/>
          <w:color w:val="000000"/>
          <w:sz w:val="18"/>
        </w:rPr>
        <w:t xml:space="preserve"> so on, responding to paragraphs (g) to (m)</w:t>
      </w:r>
      <w:r w:rsidRPr="00412A49">
        <w:rPr>
          <w:rFonts w:ascii="Calibri" w:hAnsi="Calibri"/>
          <w:color w:val="000000"/>
          <w:sz w:val="18"/>
        </w:rPr>
        <w:t xml:space="preserve"> inclusive of s9(1) of the Act ]</w:t>
      </w:r>
    </w:p>
    <w:p w:rsidR="00AF54C7" w:rsidRPr="00412A49" w:rsidRDefault="00AF54C7" w:rsidP="00AF54C7">
      <w:pPr>
        <w:overflowPunct/>
        <w:autoSpaceDE/>
        <w:autoSpaceDN/>
        <w:adjustRightInd/>
        <w:spacing w:line="360" w:lineRule="auto"/>
        <w:ind w:left="1440"/>
        <w:textAlignment w:val="auto"/>
        <w:rPr>
          <w:rFonts w:ascii="Calibri" w:hAnsi="Calibri"/>
          <w:color w:val="000000"/>
          <w:sz w:val="22"/>
          <w:szCs w:val="22"/>
        </w:rPr>
      </w:pPr>
    </w:p>
    <w:p w:rsidR="006C042B" w:rsidRPr="00B42578" w:rsidRDefault="006C042B" w:rsidP="006C042B">
      <w:pPr>
        <w:spacing w:line="360" w:lineRule="auto"/>
        <w:rPr>
          <w:rFonts w:ascii="Calibri" w:hAnsi="Calibri"/>
          <w:b/>
          <w:i/>
          <w:color w:val="000000"/>
          <w:sz w:val="24"/>
          <w:szCs w:val="24"/>
        </w:rPr>
      </w:pPr>
      <w:r w:rsidRPr="00B42578">
        <w:rPr>
          <w:rFonts w:ascii="Calibri" w:hAnsi="Calibri"/>
          <w:b/>
          <w:i/>
          <w:color w:val="000000"/>
          <w:sz w:val="24"/>
          <w:szCs w:val="24"/>
        </w:rPr>
        <w:t>Relevant matters:</w:t>
      </w:r>
    </w:p>
    <w:p w:rsidR="00A252CA" w:rsidRPr="00412A49" w:rsidRDefault="00034088" w:rsidP="0086060B">
      <w:pPr>
        <w:spacing w:line="360" w:lineRule="auto"/>
        <w:rPr>
          <w:rFonts w:ascii="Calibri" w:hAnsi="Calibri"/>
          <w:color w:val="000000"/>
          <w:sz w:val="22"/>
          <w:szCs w:val="22"/>
        </w:rPr>
      </w:pPr>
      <w:r>
        <w:rPr>
          <w:rFonts w:ascii="Calibri" w:hAnsi="Calibri"/>
          <w:color w:val="000000"/>
          <w:sz w:val="22"/>
          <w:szCs w:val="22"/>
        </w:rPr>
        <w:t>Rule</w:t>
      </w:r>
      <w:r w:rsidR="00AF54C7" w:rsidRPr="00412A49">
        <w:rPr>
          <w:rFonts w:ascii="Calibri" w:hAnsi="Calibri"/>
          <w:color w:val="000000"/>
          <w:sz w:val="22"/>
          <w:szCs w:val="22"/>
        </w:rPr>
        <w:t xml:space="preserve"> 783AE (1) of the </w:t>
      </w:r>
      <w:r w:rsidR="00AF54C7" w:rsidRPr="00412A49">
        <w:rPr>
          <w:rFonts w:ascii="Calibri" w:hAnsi="Calibri"/>
          <w:i/>
          <w:color w:val="000000"/>
          <w:sz w:val="22"/>
          <w:szCs w:val="22"/>
        </w:rPr>
        <w:t>Supreme Court Rules 2000</w:t>
      </w:r>
      <w:r w:rsidR="00AF54C7" w:rsidRPr="00412A49">
        <w:rPr>
          <w:rFonts w:ascii="Calibri" w:hAnsi="Calibri"/>
          <w:color w:val="000000"/>
          <w:sz w:val="22"/>
          <w:szCs w:val="22"/>
        </w:rPr>
        <w:t xml:space="preserve"> requires the applicant to address </w:t>
      </w:r>
      <w:r w:rsidR="00AF54C7" w:rsidRPr="00412A49">
        <w:rPr>
          <w:rFonts w:ascii="Calibri" w:hAnsi="Calibri"/>
          <w:b/>
          <w:color w:val="000000"/>
          <w:sz w:val="22"/>
          <w:szCs w:val="22"/>
        </w:rPr>
        <w:t>any</w:t>
      </w:r>
      <w:r w:rsidR="00AF54C7" w:rsidRPr="00412A49">
        <w:rPr>
          <w:rFonts w:ascii="Calibri" w:hAnsi="Calibri"/>
          <w:color w:val="000000"/>
          <w:sz w:val="22"/>
          <w:szCs w:val="22"/>
        </w:rPr>
        <w:t xml:space="preserve"> relevant matters.  The matters listed in the definition at rule 783AB</w:t>
      </w:r>
      <w:r w:rsidR="006C042B" w:rsidRPr="00412A49">
        <w:rPr>
          <w:rFonts w:ascii="Calibri" w:hAnsi="Calibri"/>
          <w:color w:val="000000"/>
          <w:sz w:val="22"/>
          <w:szCs w:val="22"/>
        </w:rPr>
        <w:t xml:space="preserve"> of the </w:t>
      </w:r>
      <w:r w:rsidR="006C042B" w:rsidRPr="00412A49">
        <w:rPr>
          <w:rFonts w:ascii="Calibri" w:hAnsi="Calibri"/>
          <w:i/>
          <w:color w:val="000000"/>
          <w:sz w:val="22"/>
          <w:szCs w:val="22"/>
        </w:rPr>
        <w:t>Supreme Court Rules 2000</w:t>
      </w:r>
      <w:r w:rsidR="00AF54C7" w:rsidRPr="00412A49">
        <w:rPr>
          <w:rFonts w:ascii="Calibri" w:hAnsi="Calibri"/>
          <w:color w:val="000000"/>
          <w:sz w:val="22"/>
          <w:szCs w:val="22"/>
        </w:rPr>
        <w:t xml:space="preserve"> are examples of the sorts of matters </w:t>
      </w:r>
      <w:r w:rsidR="00CD512A">
        <w:rPr>
          <w:rFonts w:ascii="Calibri" w:hAnsi="Calibri"/>
          <w:color w:val="000000"/>
          <w:sz w:val="22"/>
          <w:szCs w:val="22"/>
        </w:rPr>
        <w:t>that</w:t>
      </w:r>
      <w:r w:rsidR="00AF54C7" w:rsidRPr="00412A49">
        <w:rPr>
          <w:rFonts w:ascii="Calibri" w:hAnsi="Calibri"/>
          <w:color w:val="000000"/>
          <w:sz w:val="22"/>
          <w:szCs w:val="22"/>
        </w:rPr>
        <w:t xml:space="preserve"> should be disclosed</w:t>
      </w:r>
      <w:r w:rsidR="00C0728F" w:rsidRPr="00412A49">
        <w:rPr>
          <w:rFonts w:ascii="Calibri" w:hAnsi="Calibri"/>
          <w:color w:val="000000"/>
          <w:sz w:val="22"/>
          <w:szCs w:val="22"/>
        </w:rPr>
        <w:t>.  T</w:t>
      </w:r>
      <w:r w:rsidR="00AF54C7" w:rsidRPr="00412A49">
        <w:rPr>
          <w:rFonts w:ascii="Calibri" w:hAnsi="Calibri"/>
          <w:color w:val="000000"/>
          <w:sz w:val="22"/>
          <w:szCs w:val="22"/>
        </w:rPr>
        <w:t xml:space="preserve">hey are not the only sorts of matter </w:t>
      </w:r>
      <w:r w:rsidR="00A252CA">
        <w:rPr>
          <w:rFonts w:ascii="Calibri" w:hAnsi="Calibri"/>
          <w:color w:val="000000"/>
          <w:sz w:val="22"/>
          <w:szCs w:val="22"/>
        </w:rPr>
        <w:t>that</w:t>
      </w:r>
      <w:r w:rsidR="00AF54C7" w:rsidRPr="00412A49">
        <w:rPr>
          <w:rFonts w:ascii="Calibri" w:hAnsi="Calibri"/>
          <w:color w:val="000000"/>
          <w:sz w:val="22"/>
          <w:szCs w:val="22"/>
        </w:rPr>
        <w:t xml:space="preserve"> may be relevant. </w:t>
      </w:r>
      <w:r w:rsidR="00A252CA" w:rsidRPr="00412A49">
        <w:rPr>
          <w:rFonts w:ascii="Calibri" w:hAnsi="Calibri"/>
          <w:color w:val="000000"/>
          <w:sz w:val="22"/>
          <w:szCs w:val="22"/>
        </w:rPr>
        <w:t xml:space="preserve">The </w:t>
      </w:r>
      <w:r w:rsidR="006D74CF">
        <w:rPr>
          <w:rFonts w:ascii="Calibri" w:hAnsi="Calibri"/>
          <w:color w:val="000000"/>
          <w:sz w:val="22"/>
          <w:szCs w:val="22"/>
        </w:rPr>
        <w:t xml:space="preserve">section </w:t>
      </w:r>
      <w:r w:rsidR="00A252CA" w:rsidRPr="00412A49">
        <w:rPr>
          <w:rFonts w:ascii="Calibri" w:hAnsi="Calibri"/>
          <w:color w:val="000000"/>
          <w:sz w:val="22"/>
          <w:szCs w:val="22"/>
        </w:rPr>
        <w:t xml:space="preserve">headed </w:t>
      </w:r>
      <w:r w:rsidR="00A252CA" w:rsidRPr="00412A49">
        <w:rPr>
          <w:rFonts w:ascii="Calibri" w:hAnsi="Calibri"/>
          <w:i/>
          <w:color w:val="000000"/>
          <w:sz w:val="22"/>
          <w:szCs w:val="22"/>
        </w:rPr>
        <w:t>“Suitability for admission and the duty of disclosure”</w:t>
      </w:r>
      <w:r w:rsidR="00A252CA" w:rsidRPr="00412A49">
        <w:rPr>
          <w:rFonts w:ascii="Calibri" w:hAnsi="Calibri"/>
          <w:color w:val="000000"/>
          <w:sz w:val="22"/>
          <w:szCs w:val="22"/>
        </w:rPr>
        <w:t xml:space="preserve"> </w:t>
      </w:r>
      <w:r w:rsidR="006D74CF">
        <w:rPr>
          <w:rFonts w:ascii="Calibri" w:hAnsi="Calibri"/>
          <w:color w:val="000000"/>
          <w:sz w:val="22"/>
          <w:szCs w:val="22"/>
        </w:rPr>
        <w:t xml:space="preserve">in part A </w:t>
      </w:r>
      <w:r w:rsidR="00A252CA" w:rsidRPr="00412A49">
        <w:rPr>
          <w:rFonts w:ascii="Calibri" w:hAnsi="Calibri"/>
          <w:color w:val="000000"/>
          <w:sz w:val="22"/>
          <w:szCs w:val="22"/>
        </w:rPr>
        <w:t>contains information about the type of matters that must be disclosed to the Court.</w:t>
      </w:r>
    </w:p>
    <w:p w:rsidR="00E73699" w:rsidRDefault="00E73699" w:rsidP="0086060B">
      <w:pPr>
        <w:spacing w:line="360" w:lineRule="auto"/>
        <w:rPr>
          <w:rFonts w:ascii="Calibri" w:hAnsi="Calibri"/>
          <w:color w:val="000000"/>
          <w:sz w:val="22"/>
          <w:szCs w:val="22"/>
        </w:rPr>
      </w:pPr>
    </w:p>
    <w:p w:rsidR="00AF54C7" w:rsidRPr="00412A49" w:rsidRDefault="00AF54C7" w:rsidP="0086060B">
      <w:pPr>
        <w:spacing w:line="360" w:lineRule="auto"/>
        <w:rPr>
          <w:rFonts w:ascii="Calibri" w:hAnsi="Calibri"/>
          <w:color w:val="000000"/>
          <w:sz w:val="22"/>
          <w:szCs w:val="22"/>
        </w:rPr>
      </w:pPr>
      <w:r w:rsidRPr="00412A49">
        <w:rPr>
          <w:rFonts w:ascii="Calibri" w:hAnsi="Calibri"/>
          <w:color w:val="000000"/>
          <w:sz w:val="22"/>
          <w:szCs w:val="22"/>
        </w:rPr>
        <w:t>It is not necessary for the applicant to specifically address all of the types of matter defined as relevant matters</w:t>
      </w:r>
      <w:r w:rsidR="00A252CA">
        <w:rPr>
          <w:rFonts w:ascii="Calibri" w:hAnsi="Calibri"/>
          <w:color w:val="000000"/>
          <w:sz w:val="22"/>
          <w:szCs w:val="22"/>
        </w:rPr>
        <w:t xml:space="preserve">.  Only a relevant matter that does arise with respect to the applicant need be disclosed. </w:t>
      </w:r>
      <w:r w:rsidRPr="00412A49">
        <w:rPr>
          <w:rFonts w:ascii="Calibri" w:hAnsi="Calibri"/>
          <w:color w:val="000000"/>
          <w:sz w:val="22"/>
          <w:szCs w:val="22"/>
        </w:rPr>
        <w:t xml:space="preserve"> </w:t>
      </w:r>
    </w:p>
    <w:p w:rsidR="00100182" w:rsidRPr="00412A49" w:rsidRDefault="00100182" w:rsidP="006C042B">
      <w:pPr>
        <w:spacing w:line="360" w:lineRule="auto"/>
        <w:rPr>
          <w:rFonts w:ascii="Calibri" w:hAnsi="Calibri"/>
          <w:color w:val="000000"/>
          <w:sz w:val="22"/>
          <w:szCs w:val="22"/>
        </w:rPr>
      </w:pPr>
    </w:p>
    <w:p w:rsidR="006C042B" w:rsidRPr="00272ED2" w:rsidRDefault="006C042B" w:rsidP="006C042B">
      <w:pPr>
        <w:spacing w:line="360" w:lineRule="auto"/>
        <w:rPr>
          <w:rFonts w:ascii="Calibri" w:hAnsi="Calibri"/>
          <w:b/>
          <w:i/>
          <w:color w:val="000000"/>
          <w:sz w:val="24"/>
          <w:szCs w:val="24"/>
        </w:rPr>
      </w:pPr>
      <w:r w:rsidRPr="00272ED2">
        <w:rPr>
          <w:rFonts w:ascii="Calibri" w:hAnsi="Calibri"/>
          <w:b/>
          <w:i/>
          <w:color w:val="000000"/>
          <w:sz w:val="24"/>
          <w:szCs w:val="24"/>
        </w:rPr>
        <w:t>Objections:</w:t>
      </w:r>
    </w:p>
    <w:p w:rsidR="0036546D" w:rsidRDefault="006C042B" w:rsidP="0086060B">
      <w:pPr>
        <w:spacing w:line="360" w:lineRule="auto"/>
        <w:rPr>
          <w:rFonts w:ascii="Calibri" w:hAnsi="Calibri"/>
          <w:color w:val="000000"/>
          <w:sz w:val="22"/>
          <w:szCs w:val="22"/>
        </w:rPr>
      </w:pPr>
      <w:r w:rsidRPr="00412A49">
        <w:rPr>
          <w:rFonts w:ascii="Calibri" w:hAnsi="Calibri"/>
          <w:color w:val="000000"/>
          <w:sz w:val="22"/>
          <w:szCs w:val="22"/>
        </w:rPr>
        <w:t>It</w:t>
      </w:r>
      <w:r w:rsidR="0000349D" w:rsidRPr="00412A49">
        <w:rPr>
          <w:rFonts w:ascii="Calibri" w:hAnsi="Calibri"/>
          <w:color w:val="000000"/>
          <w:sz w:val="22"/>
          <w:szCs w:val="22"/>
        </w:rPr>
        <w:t xml:space="preserve"> is customary for applicants to indicate in their affidavit whether they are aware of any objections to their application for admi</w:t>
      </w:r>
      <w:r w:rsidR="004D6D56" w:rsidRPr="00412A49">
        <w:rPr>
          <w:rFonts w:ascii="Calibri" w:hAnsi="Calibri"/>
          <w:color w:val="000000"/>
          <w:sz w:val="22"/>
          <w:szCs w:val="22"/>
        </w:rPr>
        <w:t xml:space="preserve">ssion </w:t>
      </w:r>
      <w:r w:rsidR="00755C7E" w:rsidRPr="00412A49">
        <w:rPr>
          <w:rFonts w:ascii="Calibri" w:hAnsi="Calibri"/>
          <w:color w:val="000000"/>
          <w:sz w:val="22"/>
          <w:szCs w:val="22"/>
        </w:rPr>
        <w:t>to the legal profession</w:t>
      </w:r>
      <w:r w:rsidR="001A401B">
        <w:rPr>
          <w:rFonts w:ascii="Calibri" w:hAnsi="Calibri"/>
          <w:color w:val="000000"/>
          <w:sz w:val="22"/>
          <w:szCs w:val="22"/>
        </w:rPr>
        <w:t xml:space="preserve"> (see section 32 of the Act for the right to object to admission)</w:t>
      </w:r>
      <w:r w:rsidR="004D6D56" w:rsidRPr="00412A49">
        <w:rPr>
          <w:rFonts w:ascii="Calibri" w:hAnsi="Calibri"/>
          <w:color w:val="000000"/>
          <w:sz w:val="22"/>
          <w:szCs w:val="22"/>
        </w:rPr>
        <w:t xml:space="preserve">. </w:t>
      </w:r>
    </w:p>
    <w:p w:rsidR="00E73699" w:rsidRDefault="00E73699" w:rsidP="0086060B">
      <w:pPr>
        <w:spacing w:line="360" w:lineRule="auto"/>
        <w:rPr>
          <w:rFonts w:ascii="Calibri" w:hAnsi="Calibri"/>
          <w:color w:val="000000"/>
          <w:sz w:val="22"/>
          <w:szCs w:val="22"/>
        </w:rPr>
      </w:pPr>
    </w:p>
    <w:p w:rsidR="0036546D" w:rsidRDefault="004D6D56" w:rsidP="0086060B">
      <w:pPr>
        <w:spacing w:line="360" w:lineRule="auto"/>
        <w:rPr>
          <w:rFonts w:ascii="Calibri" w:hAnsi="Calibri"/>
          <w:color w:val="000000"/>
          <w:sz w:val="22"/>
          <w:szCs w:val="22"/>
        </w:rPr>
      </w:pPr>
      <w:r w:rsidRPr="00412A49">
        <w:rPr>
          <w:rFonts w:ascii="Calibri" w:hAnsi="Calibri"/>
          <w:color w:val="000000"/>
          <w:sz w:val="22"/>
          <w:szCs w:val="22"/>
        </w:rPr>
        <w:t xml:space="preserve"> If publication of the notices of intention to apply for admission to the legal profession, or service of the applications</w:t>
      </w:r>
      <w:r w:rsidR="00C0728F" w:rsidRPr="00412A49">
        <w:rPr>
          <w:rFonts w:ascii="Calibri" w:hAnsi="Calibri"/>
          <w:color w:val="000000"/>
          <w:sz w:val="22"/>
          <w:szCs w:val="22"/>
        </w:rPr>
        <w:t>,</w:t>
      </w:r>
      <w:r w:rsidRPr="00412A49">
        <w:rPr>
          <w:rFonts w:ascii="Calibri" w:hAnsi="Calibri"/>
          <w:color w:val="000000"/>
          <w:sz w:val="22"/>
          <w:szCs w:val="22"/>
        </w:rPr>
        <w:t xml:space="preserve"> has resulted in</w:t>
      </w:r>
      <w:r w:rsidR="0036546D">
        <w:rPr>
          <w:rFonts w:ascii="Calibri" w:hAnsi="Calibri"/>
          <w:color w:val="000000"/>
          <w:sz w:val="22"/>
          <w:szCs w:val="22"/>
        </w:rPr>
        <w:t xml:space="preserve"> no objections then the applicant could include a paragraph saying something like:</w:t>
      </w:r>
    </w:p>
    <w:p w:rsidR="004D6D56" w:rsidRPr="00272ED2" w:rsidRDefault="00272ED2" w:rsidP="007604FC">
      <w:pPr>
        <w:spacing w:after="100" w:afterAutospacing="1"/>
        <w:ind w:left="539"/>
        <w:rPr>
          <w:rFonts w:ascii="Calibri" w:hAnsi="Calibri"/>
          <w:color w:val="000000"/>
          <w:sz w:val="22"/>
          <w:szCs w:val="22"/>
        </w:rPr>
      </w:pPr>
      <w:r w:rsidRPr="00272ED2">
        <w:rPr>
          <w:rFonts w:ascii="Calibri" w:hAnsi="Calibri"/>
          <w:color w:val="000000"/>
          <w:sz w:val="22"/>
          <w:szCs w:val="22"/>
        </w:rPr>
        <w:t>“</w:t>
      </w:r>
      <w:r w:rsidR="004D6D56" w:rsidRPr="00272ED2">
        <w:rPr>
          <w:rFonts w:ascii="Calibri" w:hAnsi="Calibri"/>
          <w:color w:val="000000"/>
          <w:sz w:val="22"/>
          <w:szCs w:val="22"/>
        </w:rPr>
        <w:t>No notice of objection to my application for admission has been forwarded to me by the Registrar of the Supreme Court of Tasmania and I have not been notified of any other objections by any other means</w:t>
      </w:r>
      <w:r w:rsidRPr="00272ED2">
        <w:rPr>
          <w:rFonts w:ascii="Calibri" w:hAnsi="Calibri"/>
          <w:color w:val="000000"/>
          <w:sz w:val="22"/>
          <w:szCs w:val="22"/>
        </w:rPr>
        <w:t>”</w:t>
      </w:r>
      <w:r w:rsidR="004D6D56" w:rsidRPr="00272ED2">
        <w:rPr>
          <w:rFonts w:ascii="Calibri" w:hAnsi="Calibri"/>
          <w:color w:val="000000"/>
          <w:sz w:val="22"/>
          <w:szCs w:val="22"/>
        </w:rPr>
        <w:t>.</w:t>
      </w:r>
    </w:p>
    <w:p w:rsidR="00336857" w:rsidRPr="007604FC" w:rsidRDefault="0036546D" w:rsidP="0086060B">
      <w:pPr>
        <w:spacing w:after="100" w:afterAutospacing="1" w:line="360" w:lineRule="auto"/>
        <w:rPr>
          <w:rFonts w:ascii="Calibri" w:hAnsi="Calibri"/>
          <w:color w:val="000000"/>
          <w:sz w:val="22"/>
          <w:szCs w:val="22"/>
        </w:rPr>
      </w:pPr>
      <w:r>
        <w:rPr>
          <w:rFonts w:ascii="Calibri" w:hAnsi="Calibri"/>
          <w:color w:val="000000"/>
          <w:sz w:val="22"/>
          <w:szCs w:val="22"/>
        </w:rPr>
        <w:t xml:space="preserve">If </w:t>
      </w:r>
      <w:r w:rsidRPr="00412A49">
        <w:rPr>
          <w:rFonts w:ascii="Calibri" w:hAnsi="Calibri"/>
          <w:color w:val="000000"/>
          <w:sz w:val="22"/>
          <w:szCs w:val="22"/>
        </w:rPr>
        <w:t xml:space="preserve">the applicant </w:t>
      </w:r>
      <w:r>
        <w:rPr>
          <w:rFonts w:ascii="Calibri" w:hAnsi="Calibri"/>
          <w:color w:val="000000"/>
          <w:sz w:val="22"/>
          <w:szCs w:val="22"/>
        </w:rPr>
        <w:t xml:space="preserve">has been made aware of </w:t>
      </w:r>
      <w:r w:rsidRPr="00412A49">
        <w:rPr>
          <w:rFonts w:ascii="Calibri" w:hAnsi="Calibri"/>
          <w:color w:val="000000"/>
          <w:sz w:val="22"/>
          <w:szCs w:val="22"/>
        </w:rPr>
        <w:t xml:space="preserve">an objection to their application then the applicant should indicate this in an affidavit and provide any explanation of the circumstances giving rise to the objection.  </w:t>
      </w:r>
    </w:p>
    <w:p w:rsidR="00AF54C7" w:rsidRPr="00E36A9F" w:rsidRDefault="00AF54C7" w:rsidP="00AF54C7">
      <w:pPr>
        <w:spacing w:line="360" w:lineRule="auto"/>
        <w:rPr>
          <w:rFonts w:ascii="Calibri" w:hAnsi="Calibri"/>
          <w:b/>
          <w:color w:val="000000"/>
          <w:sz w:val="28"/>
          <w:szCs w:val="28"/>
        </w:rPr>
      </w:pPr>
      <w:r w:rsidRPr="00E36A9F">
        <w:rPr>
          <w:rFonts w:ascii="Calibri" w:hAnsi="Calibri"/>
          <w:b/>
          <w:color w:val="000000"/>
          <w:sz w:val="28"/>
          <w:szCs w:val="28"/>
        </w:rPr>
        <w:t>The affidavits as to character</w:t>
      </w:r>
    </w:p>
    <w:p w:rsidR="00A03C7F" w:rsidRPr="00412A49" w:rsidRDefault="00AF54C7" w:rsidP="0086060B">
      <w:pPr>
        <w:spacing w:line="360" w:lineRule="auto"/>
        <w:rPr>
          <w:rFonts w:ascii="Calibri" w:hAnsi="Calibri"/>
          <w:color w:val="000000"/>
          <w:sz w:val="22"/>
          <w:szCs w:val="22"/>
        </w:rPr>
      </w:pPr>
      <w:r w:rsidRPr="00412A49">
        <w:rPr>
          <w:rFonts w:ascii="Calibri" w:hAnsi="Calibri"/>
          <w:color w:val="000000"/>
          <w:sz w:val="22"/>
          <w:szCs w:val="22"/>
        </w:rPr>
        <w:lastRenderedPageBreak/>
        <w:t xml:space="preserve">Affidavits as to character are intended to provide evidence that the applicant is of good reputation and character.  They must be made by an “acceptable deponent”.  The affidavit as to character must therefore include information about </w:t>
      </w:r>
      <w:r w:rsidR="00A03C7F" w:rsidRPr="00412A49">
        <w:rPr>
          <w:rFonts w:ascii="Calibri" w:hAnsi="Calibri"/>
          <w:color w:val="000000"/>
          <w:sz w:val="22"/>
          <w:szCs w:val="22"/>
        </w:rPr>
        <w:t>three things:</w:t>
      </w:r>
    </w:p>
    <w:p w:rsidR="00A03C7F" w:rsidRPr="00412A49" w:rsidRDefault="009332A9" w:rsidP="00DF1F65">
      <w:pPr>
        <w:numPr>
          <w:ilvl w:val="0"/>
          <w:numId w:val="26"/>
        </w:numPr>
        <w:spacing w:line="360" w:lineRule="auto"/>
        <w:rPr>
          <w:rFonts w:ascii="Calibri" w:hAnsi="Calibri"/>
          <w:color w:val="000000"/>
          <w:sz w:val="22"/>
          <w:szCs w:val="22"/>
        </w:rPr>
      </w:pPr>
      <w:r w:rsidRPr="00412A49">
        <w:rPr>
          <w:rFonts w:ascii="Calibri" w:hAnsi="Calibri"/>
          <w:color w:val="000000"/>
          <w:sz w:val="22"/>
          <w:szCs w:val="22"/>
        </w:rPr>
        <w:t>why the deponent is acceptable;</w:t>
      </w:r>
      <w:r w:rsidR="00AF54C7" w:rsidRPr="00412A49">
        <w:rPr>
          <w:rFonts w:ascii="Calibri" w:hAnsi="Calibri"/>
          <w:color w:val="000000"/>
          <w:sz w:val="22"/>
          <w:szCs w:val="22"/>
        </w:rPr>
        <w:t xml:space="preserve"> </w:t>
      </w:r>
    </w:p>
    <w:p w:rsidR="00A03C7F" w:rsidRPr="00412A49" w:rsidRDefault="00A03C7F" w:rsidP="00DF1F65">
      <w:pPr>
        <w:numPr>
          <w:ilvl w:val="0"/>
          <w:numId w:val="26"/>
        </w:numPr>
        <w:spacing w:line="360" w:lineRule="auto"/>
        <w:rPr>
          <w:rFonts w:ascii="Calibri" w:hAnsi="Calibri"/>
          <w:color w:val="000000"/>
          <w:sz w:val="22"/>
          <w:szCs w:val="22"/>
        </w:rPr>
      </w:pPr>
      <w:r w:rsidRPr="00412A49">
        <w:rPr>
          <w:rFonts w:ascii="Calibri" w:hAnsi="Calibri"/>
          <w:color w:val="000000"/>
          <w:sz w:val="22"/>
          <w:szCs w:val="22"/>
        </w:rPr>
        <w:t>the nature of the deponent’s relationship with the applicant</w:t>
      </w:r>
      <w:r w:rsidR="009332A9" w:rsidRPr="00412A49">
        <w:rPr>
          <w:rFonts w:ascii="Calibri" w:hAnsi="Calibri"/>
          <w:color w:val="000000"/>
          <w:sz w:val="22"/>
          <w:szCs w:val="22"/>
        </w:rPr>
        <w:t>; and</w:t>
      </w:r>
      <w:r w:rsidRPr="00412A49">
        <w:rPr>
          <w:rFonts w:ascii="Calibri" w:hAnsi="Calibri"/>
          <w:color w:val="000000"/>
          <w:sz w:val="22"/>
          <w:szCs w:val="22"/>
        </w:rPr>
        <w:t xml:space="preserve"> </w:t>
      </w:r>
    </w:p>
    <w:p w:rsidR="00AF54C7" w:rsidRPr="00412A49" w:rsidRDefault="00AF54C7" w:rsidP="00DF1F65">
      <w:pPr>
        <w:numPr>
          <w:ilvl w:val="0"/>
          <w:numId w:val="26"/>
        </w:numPr>
        <w:spacing w:line="360" w:lineRule="auto"/>
        <w:rPr>
          <w:rFonts w:ascii="Calibri" w:hAnsi="Calibri"/>
          <w:color w:val="000000"/>
          <w:sz w:val="22"/>
          <w:szCs w:val="22"/>
        </w:rPr>
      </w:pPr>
      <w:r w:rsidRPr="00412A49">
        <w:rPr>
          <w:rFonts w:ascii="Calibri" w:hAnsi="Calibri"/>
          <w:color w:val="000000"/>
          <w:sz w:val="22"/>
          <w:szCs w:val="22"/>
        </w:rPr>
        <w:t xml:space="preserve">information about the good character of the applicant.  </w:t>
      </w:r>
    </w:p>
    <w:p w:rsidR="00E73699" w:rsidRDefault="00E73699" w:rsidP="0086060B">
      <w:pPr>
        <w:overflowPunct/>
        <w:autoSpaceDE/>
        <w:autoSpaceDN/>
        <w:adjustRightInd/>
        <w:spacing w:line="360" w:lineRule="auto"/>
        <w:textAlignment w:val="auto"/>
        <w:rPr>
          <w:rFonts w:ascii="Calibri" w:hAnsi="Calibri"/>
          <w:color w:val="000000"/>
          <w:sz w:val="22"/>
          <w:szCs w:val="22"/>
        </w:rPr>
      </w:pPr>
    </w:p>
    <w:p w:rsidR="00230F5F" w:rsidRPr="00412A49" w:rsidRDefault="00230F5F"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form for the affidavit is form 57BC.  The form lists </w:t>
      </w:r>
      <w:r w:rsidR="0085560C" w:rsidRPr="00412A49">
        <w:rPr>
          <w:rFonts w:ascii="Calibri" w:hAnsi="Calibri"/>
          <w:color w:val="000000"/>
          <w:sz w:val="22"/>
          <w:szCs w:val="22"/>
        </w:rPr>
        <w:t>a number of</w:t>
      </w:r>
      <w:r w:rsidRPr="00412A49">
        <w:rPr>
          <w:rFonts w:ascii="Calibri" w:hAnsi="Calibri"/>
          <w:color w:val="000000"/>
          <w:sz w:val="22"/>
          <w:szCs w:val="22"/>
        </w:rPr>
        <w:t xml:space="preserve"> paragraphs and suggests the wording of these.   The content of </w:t>
      </w:r>
      <w:r w:rsidR="0085560C" w:rsidRPr="00412A49">
        <w:rPr>
          <w:rFonts w:ascii="Calibri" w:hAnsi="Calibri"/>
          <w:color w:val="000000"/>
          <w:sz w:val="22"/>
          <w:szCs w:val="22"/>
        </w:rPr>
        <w:t xml:space="preserve">the </w:t>
      </w:r>
      <w:r w:rsidRPr="00412A49">
        <w:rPr>
          <w:rFonts w:ascii="Calibri" w:hAnsi="Calibri"/>
          <w:color w:val="000000"/>
          <w:sz w:val="22"/>
          <w:szCs w:val="22"/>
        </w:rPr>
        <w:t xml:space="preserve">affidavit may suit some variation in wording, or a larger number of paragraphs. </w:t>
      </w:r>
    </w:p>
    <w:p w:rsidR="00B630FC" w:rsidRDefault="00B630FC" w:rsidP="008326B9">
      <w:pPr>
        <w:spacing w:line="360" w:lineRule="auto"/>
        <w:rPr>
          <w:rFonts w:ascii="Calibri" w:hAnsi="Calibri"/>
          <w:i/>
          <w:color w:val="000000"/>
          <w:sz w:val="24"/>
          <w:szCs w:val="24"/>
        </w:rPr>
      </w:pPr>
    </w:p>
    <w:p w:rsidR="00C76286" w:rsidRDefault="00C76286" w:rsidP="008326B9">
      <w:pPr>
        <w:spacing w:line="360" w:lineRule="auto"/>
        <w:rPr>
          <w:rFonts w:ascii="Calibri" w:hAnsi="Calibri"/>
          <w:b/>
          <w:i/>
          <w:color w:val="000000"/>
          <w:sz w:val="24"/>
          <w:szCs w:val="24"/>
        </w:rPr>
      </w:pPr>
    </w:p>
    <w:p w:rsidR="008326B9" w:rsidRPr="00AA6D47" w:rsidRDefault="008326B9" w:rsidP="00AA6D47">
      <w:pPr>
        <w:pStyle w:val="ListParagraph"/>
        <w:numPr>
          <w:ilvl w:val="0"/>
          <w:numId w:val="40"/>
        </w:numPr>
        <w:spacing w:line="360" w:lineRule="auto"/>
        <w:rPr>
          <w:rFonts w:ascii="Calibri" w:hAnsi="Calibri"/>
          <w:b/>
          <w:i/>
          <w:color w:val="000000"/>
          <w:sz w:val="24"/>
          <w:szCs w:val="24"/>
        </w:rPr>
      </w:pPr>
      <w:r w:rsidRPr="00AA6D47">
        <w:rPr>
          <w:rFonts w:ascii="Calibri" w:hAnsi="Calibri"/>
          <w:b/>
          <w:i/>
          <w:color w:val="000000"/>
          <w:sz w:val="24"/>
          <w:szCs w:val="24"/>
        </w:rPr>
        <w:t>Wh</w:t>
      </w:r>
      <w:r w:rsidR="00C0728F" w:rsidRPr="00AA6D47">
        <w:rPr>
          <w:rFonts w:ascii="Calibri" w:hAnsi="Calibri"/>
          <w:b/>
          <w:i/>
          <w:color w:val="000000"/>
          <w:sz w:val="24"/>
          <w:szCs w:val="24"/>
        </w:rPr>
        <w:t>o</w:t>
      </w:r>
      <w:r w:rsidRPr="00AA6D47">
        <w:rPr>
          <w:rFonts w:ascii="Calibri" w:hAnsi="Calibri"/>
          <w:b/>
          <w:i/>
          <w:color w:val="000000"/>
          <w:sz w:val="24"/>
          <w:szCs w:val="24"/>
        </w:rPr>
        <w:t xml:space="preserve"> is </w:t>
      </w:r>
      <w:r w:rsidR="00C0728F" w:rsidRPr="00AA6D47">
        <w:rPr>
          <w:rFonts w:ascii="Calibri" w:hAnsi="Calibri"/>
          <w:b/>
          <w:i/>
          <w:color w:val="000000"/>
          <w:sz w:val="24"/>
          <w:szCs w:val="24"/>
        </w:rPr>
        <w:t xml:space="preserve">an acceptable </w:t>
      </w:r>
      <w:r w:rsidRPr="00AA6D47">
        <w:rPr>
          <w:rFonts w:ascii="Calibri" w:hAnsi="Calibri"/>
          <w:b/>
          <w:i/>
          <w:color w:val="000000"/>
          <w:sz w:val="24"/>
          <w:szCs w:val="24"/>
        </w:rPr>
        <w:t>deponent?</w:t>
      </w:r>
    </w:p>
    <w:p w:rsidR="00AF54C7" w:rsidRPr="00412A49" w:rsidRDefault="00AF54C7" w:rsidP="0086060B">
      <w:pPr>
        <w:spacing w:line="360" w:lineRule="auto"/>
        <w:rPr>
          <w:rFonts w:ascii="Calibri" w:hAnsi="Calibri"/>
          <w:color w:val="000000"/>
          <w:sz w:val="22"/>
          <w:szCs w:val="22"/>
        </w:rPr>
      </w:pPr>
      <w:r w:rsidRPr="00412A49">
        <w:rPr>
          <w:rFonts w:ascii="Calibri" w:hAnsi="Calibri"/>
          <w:color w:val="000000"/>
          <w:sz w:val="22"/>
          <w:szCs w:val="22"/>
        </w:rPr>
        <w:t xml:space="preserve">An acceptable deponent is defined in rule 783AA of the </w:t>
      </w:r>
      <w:r w:rsidRPr="00412A49">
        <w:rPr>
          <w:rFonts w:ascii="Calibri" w:hAnsi="Calibri"/>
          <w:i/>
          <w:color w:val="000000"/>
          <w:sz w:val="22"/>
          <w:szCs w:val="22"/>
        </w:rPr>
        <w:t>Supreme Court Rules 2000</w:t>
      </w:r>
      <w:r w:rsidRPr="00412A49">
        <w:rPr>
          <w:rFonts w:ascii="Calibri" w:hAnsi="Calibri"/>
          <w:color w:val="000000"/>
          <w:sz w:val="22"/>
          <w:szCs w:val="22"/>
        </w:rPr>
        <w:t>:</w:t>
      </w:r>
    </w:p>
    <w:p w:rsidR="00AF54C7" w:rsidRPr="00C16BDA" w:rsidRDefault="00C16BDA" w:rsidP="00C16BDA">
      <w:pPr>
        <w:ind w:left="539"/>
        <w:rPr>
          <w:rFonts w:ascii="Calibri" w:hAnsi="Calibri"/>
          <w:color w:val="000000"/>
          <w:sz w:val="22"/>
          <w:szCs w:val="22"/>
        </w:rPr>
      </w:pPr>
      <w:r>
        <w:rPr>
          <w:rFonts w:ascii="Calibri" w:hAnsi="Calibri"/>
          <w:b/>
          <w:bCs/>
          <w:color w:val="000000"/>
          <w:sz w:val="22"/>
          <w:szCs w:val="22"/>
        </w:rPr>
        <w:t>“</w:t>
      </w:r>
      <w:r w:rsidR="00AF54C7" w:rsidRPr="00C16BDA">
        <w:rPr>
          <w:rFonts w:ascii="Calibri" w:hAnsi="Calibri"/>
          <w:b/>
          <w:bCs/>
          <w:color w:val="000000"/>
          <w:sz w:val="22"/>
          <w:szCs w:val="22"/>
        </w:rPr>
        <w:t>"acceptable deponent"</w:t>
      </w:r>
      <w:r w:rsidR="00AF54C7" w:rsidRPr="00C16BDA">
        <w:rPr>
          <w:rFonts w:ascii="Calibri" w:hAnsi="Calibri"/>
          <w:color w:val="000000"/>
          <w:sz w:val="22"/>
          <w:szCs w:val="22"/>
        </w:rPr>
        <w:t xml:space="preserve">, in relation to an applicant, means a person who is not married to the applicant, in a significant relationship, within the meaning of the </w:t>
      </w:r>
      <w:hyperlink r:id="rId8" w:tgtFrame="_parent" w:history="1">
        <w:r w:rsidR="00AF54C7" w:rsidRPr="00C16BDA">
          <w:rPr>
            <w:rStyle w:val="Hyperlink"/>
            <w:rFonts w:ascii="Calibri" w:hAnsi="Calibri"/>
            <w:iCs/>
            <w:color w:val="000000"/>
            <w:sz w:val="22"/>
            <w:szCs w:val="22"/>
          </w:rPr>
          <w:t>Relationships Act 2003</w:t>
        </w:r>
      </w:hyperlink>
      <w:r w:rsidR="00AF54C7" w:rsidRPr="00C16BDA">
        <w:rPr>
          <w:rFonts w:ascii="Calibri" w:hAnsi="Calibri"/>
          <w:color w:val="000000"/>
          <w:sz w:val="22"/>
          <w:szCs w:val="22"/>
        </w:rPr>
        <w:t>, with the applicant or a close blood relative of the applicant and –</w:t>
      </w:r>
      <w:bookmarkStart w:id="1" w:name="GS783AA@Nd257200835711@Hpa@EN"/>
      <w:bookmarkEnd w:id="1"/>
      <w:r w:rsidR="00AF54C7" w:rsidRPr="00C16BDA">
        <w:rPr>
          <w:rFonts w:ascii="Calibri" w:hAnsi="Calibri"/>
          <w:color w:val="000000"/>
          <w:sz w:val="22"/>
          <w:szCs w:val="22"/>
        </w:rPr>
        <w:t xml:space="preserve"> </w:t>
      </w:r>
    </w:p>
    <w:p w:rsidR="00AF54C7" w:rsidRPr="00C16BDA" w:rsidRDefault="00AF54C7" w:rsidP="00C16BDA">
      <w:pPr>
        <w:pStyle w:val="NormalWeb"/>
        <w:ind w:left="539"/>
        <w:rPr>
          <w:rFonts w:ascii="Calibri" w:hAnsi="Calibri"/>
          <w:color w:val="000000"/>
          <w:sz w:val="22"/>
          <w:szCs w:val="22"/>
        </w:rPr>
      </w:pPr>
      <w:r w:rsidRPr="00C16BDA">
        <w:rPr>
          <w:rFonts w:ascii="Calibri" w:hAnsi="Calibri"/>
          <w:b/>
          <w:bCs/>
          <w:color w:val="000000"/>
          <w:sz w:val="22"/>
          <w:szCs w:val="22"/>
        </w:rPr>
        <w:t>(a)</w:t>
      </w:r>
      <w:r w:rsidRPr="00C16BDA">
        <w:rPr>
          <w:rFonts w:ascii="Calibri" w:hAnsi="Calibri"/>
          <w:color w:val="000000"/>
          <w:sz w:val="22"/>
          <w:szCs w:val="22"/>
        </w:rPr>
        <w:t xml:space="preserve"> is a commissioner for declarations pursuant to </w:t>
      </w:r>
      <w:hyperlink r:id="rId9" w:tgtFrame="_parent" w:history="1">
        <w:r w:rsidRPr="00C16BDA">
          <w:rPr>
            <w:rStyle w:val="Hyperlink"/>
            <w:rFonts w:ascii="Calibri" w:hAnsi="Calibri"/>
            <w:color w:val="000000"/>
            <w:sz w:val="22"/>
            <w:szCs w:val="22"/>
          </w:rPr>
          <w:t xml:space="preserve">section 12 of the </w:t>
        </w:r>
      </w:hyperlink>
      <w:hyperlink r:id="rId10" w:tgtFrame="_parent" w:history="1">
        <w:r w:rsidRPr="00C16BDA">
          <w:rPr>
            <w:rStyle w:val="Hyperlink"/>
            <w:rFonts w:ascii="Calibri" w:hAnsi="Calibri"/>
            <w:iCs/>
            <w:color w:val="000000"/>
            <w:sz w:val="22"/>
            <w:szCs w:val="22"/>
          </w:rPr>
          <w:t>Oaths Act 2001</w:t>
        </w:r>
      </w:hyperlink>
      <w:r w:rsidRPr="00C16BDA">
        <w:rPr>
          <w:rFonts w:ascii="Calibri" w:hAnsi="Calibri"/>
          <w:color w:val="000000"/>
          <w:sz w:val="22"/>
          <w:szCs w:val="22"/>
        </w:rPr>
        <w:t xml:space="preserve"> and has known the applicant for a period of not less than 12 months; or</w:t>
      </w:r>
    </w:p>
    <w:p w:rsidR="00AF54C7" w:rsidRPr="00C16BDA" w:rsidRDefault="00AF54C7" w:rsidP="00C16BDA">
      <w:pPr>
        <w:pStyle w:val="NormalWeb"/>
        <w:ind w:left="539"/>
        <w:rPr>
          <w:rFonts w:ascii="Calibri" w:hAnsi="Calibri"/>
          <w:color w:val="000000"/>
          <w:sz w:val="22"/>
          <w:szCs w:val="22"/>
        </w:rPr>
      </w:pPr>
      <w:bookmarkStart w:id="2" w:name="GS783AA@Nd257200835711@Hpb@EN"/>
      <w:bookmarkEnd w:id="2"/>
      <w:r w:rsidRPr="00C16BDA">
        <w:rPr>
          <w:rFonts w:ascii="Calibri" w:hAnsi="Calibri"/>
          <w:b/>
          <w:bCs/>
          <w:color w:val="000000"/>
          <w:sz w:val="22"/>
          <w:szCs w:val="22"/>
        </w:rPr>
        <w:t>(b)</w:t>
      </w:r>
      <w:r w:rsidRPr="00C16BDA">
        <w:rPr>
          <w:rFonts w:ascii="Calibri" w:hAnsi="Calibri"/>
          <w:color w:val="000000"/>
          <w:sz w:val="22"/>
          <w:szCs w:val="22"/>
        </w:rPr>
        <w:t xml:space="preserve"> has an occupation in an overseas jurisdiction, or is authorised to practise in a profession in an overseas jurisdiction, that is substantially equivalent to one that would qualify the person as a commissioner for declarations pursuant to </w:t>
      </w:r>
      <w:hyperlink r:id="rId11" w:tgtFrame="_parent" w:history="1">
        <w:r w:rsidRPr="00C16BDA">
          <w:rPr>
            <w:rStyle w:val="Hyperlink"/>
            <w:rFonts w:ascii="Calibri" w:hAnsi="Calibri"/>
            <w:color w:val="000000"/>
            <w:sz w:val="22"/>
            <w:szCs w:val="22"/>
          </w:rPr>
          <w:t xml:space="preserve">section 12(2) of the </w:t>
        </w:r>
      </w:hyperlink>
      <w:hyperlink r:id="rId12" w:tgtFrame="_parent" w:history="1">
        <w:r w:rsidRPr="00C16BDA">
          <w:rPr>
            <w:rStyle w:val="Hyperlink"/>
            <w:rFonts w:ascii="Calibri" w:hAnsi="Calibri"/>
            <w:iCs/>
            <w:color w:val="000000"/>
            <w:sz w:val="22"/>
            <w:szCs w:val="22"/>
          </w:rPr>
          <w:t>Oaths Act 2001</w:t>
        </w:r>
      </w:hyperlink>
      <w:r w:rsidRPr="00C16BDA">
        <w:rPr>
          <w:rFonts w:ascii="Calibri" w:hAnsi="Calibri"/>
          <w:color w:val="000000"/>
          <w:sz w:val="22"/>
          <w:szCs w:val="22"/>
        </w:rPr>
        <w:t xml:space="preserve"> and has known the applicant for a period of not less than 12 months; or</w:t>
      </w:r>
    </w:p>
    <w:p w:rsidR="00AF54C7" w:rsidRPr="00C16BDA" w:rsidRDefault="00AF54C7" w:rsidP="00C16BDA">
      <w:pPr>
        <w:pStyle w:val="NormalWeb"/>
        <w:ind w:left="539"/>
        <w:rPr>
          <w:rFonts w:ascii="Calibri" w:hAnsi="Calibri"/>
          <w:color w:val="000000"/>
          <w:sz w:val="22"/>
          <w:szCs w:val="22"/>
        </w:rPr>
      </w:pPr>
      <w:bookmarkStart w:id="3" w:name="GS783AA@Nd257200835711@Hpc@EN"/>
      <w:bookmarkEnd w:id="3"/>
      <w:r w:rsidRPr="00C16BDA">
        <w:rPr>
          <w:rFonts w:ascii="Calibri" w:hAnsi="Calibri"/>
          <w:b/>
          <w:bCs/>
          <w:color w:val="000000"/>
          <w:sz w:val="22"/>
          <w:szCs w:val="22"/>
        </w:rPr>
        <w:t>(c)</w:t>
      </w:r>
      <w:r w:rsidRPr="00C16BDA">
        <w:rPr>
          <w:rFonts w:ascii="Calibri" w:hAnsi="Calibri"/>
          <w:color w:val="000000"/>
          <w:sz w:val="22"/>
          <w:szCs w:val="22"/>
        </w:rPr>
        <w:t xml:space="preserve"> is, or was, employed at a secondary or tertiary teaching institution and taught the applicant for not less than the equivalent of one year of tertiary studies, or one of the two final years of secondary studies; or</w:t>
      </w:r>
    </w:p>
    <w:p w:rsidR="00AF54C7" w:rsidRPr="00C16BDA" w:rsidRDefault="00AF54C7" w:rsidP="00C16BDA">
      <w:pPr>
        <w:pStyle w:val="NormalWeb"/>
        <w:ind w:left="539"/>
        <w:rPr>
          <w:rFonts w:ascii="Calibri" w:hAnsi="Calibri"/>
          <w:color w:val="000000"/>
          <w:sz w:val="22"/>
          <w:szCs w:val="22"/>
        </w:rPr>
      </w:pPr>
      <w:bookmarkStart w:id="4" w:name="GS783AA@Nd257200835711@Hpd@EN"/>
      <w:bookmarkEnd w:id="4"/>
      <w:r w:rsidRPr="00C16BDA">
        <w:rPr>
          <w:rFonts w:ascii="Calibri" w:hAnsi="Calibri"/>
          <w:b/>
          <w:bCs/>
          <w:color w:val="000000"/>
          <w:sz w:val="22"/>
          <w:szCs w:val="22"/>
        </w:rPr>
        <w:t>(d)</w:t>
      </w:r>
      <w:r w:rsidRPr="00C16BDA">
        <w:rPr>
          <w:rFonts w:ascii="Calibri" w:hAnsi="Calibri"/>
          <w:color w:val="000000"/>
          <w:sz w:val="22"/>
          <w:szCs w:val="22"/>
        </w:rPr>
        <w:t xml:space="preserve"> is a person determined by the Court to be an acceptable deponent.</w:t>
      </w:r>
      <w:r w:rsidR="00C16BDA">
        <w:rPr>
          <w:rFonts w:ascii="Calibri" w:hAnsi="Calibri"/>
          <w:color w:val="000000"/>
          <w:sz w:val="22"/>
          <w:szCs w:val="22"/>
        </w:rPr>
        <w:t>”</w:t>
      </w:r>
    </w:p>
    <w:p w:rsidR="00167D17" w:rsidRPr="00412A49" w:rsidRDefault="00AF54C7" w:rsidP="0086060B">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 xml:space="preserve">Section 12 of the </w:t>
      </w:r>
      <w:r w:rsidRPr="00412A49">
        <w:rPr>
          <w:rFonts w:ascii="Calibri" w:hAnsi="Calibri"/>
          <w:bCs/>
          <w:i/>
          <w:color w:val="000000"/>
          <w:sz w:val="22"/>
          <w:szCs w:val="22"/>
        </w:rPr>
        <w:t>Oaths Act 2001</w:t>
      </w:r>
      <w:r w:rsidRPr="00412A49">
        <w:rPr>
          <w:rFonts w:ascii="Calibri" w:hAnsi="Calibri"/>
          <w:bCs/>
          <w:color w:val="000000"/>
          <w:sz w:val="22"/>
          <w:szCs w:val="22"/>
        </w:rPr>
        <w:t xml:space="preserve"> in turn states that a person is a commissioner for declarations if they are a member of a profession listed in Part 1 of the Schedule to the </w:t>
      </w:r>
      <w:r w:rsidRPr="00412A49">
        <w:rPr>
          <w:rFonts w:ascii="Calibri" w:hAnsi="Calibri"/>
          <w:bCs/>
          <w:i/>
          <w:color w:val="000000"/>
          <w:sz w:val="22"/>
          <w:szCs w:val="22"/>
        </w:rPr>
        <w:t>Statutory Declarations Regulations 1993 (</w:t>
      </w:r>
      <w:proofErr w:type="spellStart"/>
      <w:r w:rsidRPr="00412A49">
        <w:rPr>
          <w:rFonts w:ascii="Calibri" w:hAnsi="Calibri"/>
          <w:bCs/>
          <w:i/>
          <w:color w:val="000000"/>
          <w:sz w:val="22"/>
          <w:szCs w:val="22"/>
        </w:rPr>
        <w:t>Cwth</w:t>
      </w:r>
      <w:proofErr w:type="spellEnd"/>
      <w:r w:rsidRPr="00412A49">
        <w:rPr>
          <w:rFonts w:ascii="Calibri" w:hAnsi="Calibri"/>
          <w:bCs/>
          <w:i/>
          <w:color w:val="000000"/>
          <w:sz w:val="22"/>
          <w:szCs w:val="22"/>
        </w:rPr>
        <w:t>)</w:t>
      </w:r>
      <w:r w:rsidRPr="00412A49">
        <w:rPr>
          <w:rFonts w:ascii="Calibri" w:hAnsi="Calibri"/>
          <w:bCs/>
          <w:color w:val="000000"/>
          <w:sz w:val="22"/>
          <w:szCs w:val="22"/>
        </w:rPr>
        <w:t xml:space="preserve"> or a person listed in Part 2 of that Schedule.  Applicants should refer to these lists before choosing the person who will provide the affidavit as to character. </w:t>
      </w:r>
      <w:r w:rsidR="001E7085" w:rsidRPr="00412A49">
        <w:rPr>
          <w:rFonts w:ascii="Calibri" w:hAnsi="Calibri"/>
          <w:bCs/>
          <w:color w:val="000000"/>
          <w:sz w:val="22"/>
          <w:szCs w:val="22"/>
        </w:rPr>
        <w:t xml:space="preserve"> </w:t>
      </w:r>
    </w:p>
    <w:p w:rsidR="00E73699" w:rsidRDefault="00E73699" w:rsidP="0086060B">
      <w:pPr>
        <w:pStyle w:val="NormalWeb"/>
        <w:spacing w:before="0" w:beforeAutospacing="0" w:after="0" w:afterAutospacing="0" w:line="360" w:lineRule="auto"/>
        <w:rPr>
          <w:rFonts w:ascii="Calibri" w:hAnsi="Calibri"/>
          <w:bCs/>
          <w:color w:val="000000"/>
          <w:sz w:val="22"/>
          <w:szCs w:val="22"/>
        </w:rPr>
      </w:pPr>
    </w:p>
    <w:p w:rsidR="00AF54C7" w:rsidRPr="00412A49" w:rsidRDefault="00E73699" w:rsidP="0086060B">
      <w:pPr>
        <w:pStyle w:val="NormalWeb"/>
        <w:spacing w:before="0" w:beforeAutospacing="0" w:after="0" w:afterAutospacing="0" w:line="360" w:lineRule="auto"/>
        <w:rPr>
          <w:rFonts w:ascii="Calibri" w:hAnsi="Calibri"/>
          <w:bCs/>
          <w:color w:val="000000"/>
          <w:sz w:val="22"/>
          <w:szCs w:val="22"/>
        </w:rPr>
      </w:pPr>
      <w:r>
        <w:rPr>
          <w:rFonts w:ascii="Calibri" w:hAnsi="Calibri"/>
          <w:bCs/>
          <w:color w:val="000000"/>
          <w:sz w:val="22"/>
          <w:szCs w:val="22"/>
        </w:rPr>
        <w:t xml:space="preserve">A </w:t>
      </w:r>
      <w:r w:rsidR="00167D17" w:rsidRPr="00412A49">
        <w:rPr>
          <w:rFonts w:ascii="Calibri" w:hAnsi="Calibri"/>
          <w:bCs/>
          <w:color w:val="000000"/>
          <w:sz w:val="22"/>
          <w:szCs w:val="22"/>
        </w:rPr>
        <w:t>deponent will need to address the following matters in their affidavit in order for the Court to be satisfied that they are an “acceptable deponent”</w:t>
      </w:r>
      <w:r w:rsidR="001E7085" w:rsidRPr="00412A49">
        <w:rPr>
          <w:rFonts w:ascii="Calibri" w:hAnsi="Calibri"/>
          <w:bCs/>
          <w:color w:val="000000"/>
          <w:sz w:val="22"/>
          <w:szCs w:val="22"/>
        </w:rPr>
        <w:t>:</w:t>
      </w:r>
    </w:p>
    <w:p w:rsidR="001E7085" w:rsidRPr="00412A49" w:rsidRDefault="00B630FC" w:rsidP="001E7085">
      <w:pPr>
        <w:pStyle w:val="NormalWeb"/>
        <w:numPr>
          <w:ilvl w:val="0"/>
          <w:numId w:val="33"/>
        </w:numPr>
        <w:spacing w:before="0" w:beforeAutospacing="0" w:after="0" w:afterAutospacing="0" w:line="360" w:lineRule="auto"/>
        <w:rPr>
          <w:rFonts w:ascii="Calibri" w:hAnsi="Calibri"/>
          <w:bCs/>
          <w:color w:val="000000"/>
          <w:sz w:val="22"/>
          <w:szCs w:val="22"/>
        </w:rPr>
      </w:pPr>
      <w:r>
        <w:rPr>
          <w:rFonts w:ascii="Calibri" w:hAnsi="Calibri"/>
          <w:bCs/>
          <w:color w:val="000000"/>
          <w:sz w:val="22"/>
          <w:szCs w:val="22"/>
        </w:rPr>
        <w:t>That they are not married to the applicant, in a significant relationship with the applicant, or a close blood relative of the applicant</w:t>
      </w:r>
      <w:r w:rsidR="001E7085" w:rsidRPr="00412A49">
        <w:rPr>
          <w:rFonts w:ascii="Calibri" w:hAnsi="Calibri"/>
          <w:bCs/>
          <w:color w:val="000000"/>
          <w:sz w:val="22"/>
          <w:szCs w:val="22"/>
        </w:rPr>
        <w:t>;</w:t>
      </w:r>
    </w:p>
    <w:p w:rsidR="001E7085" w:rsidRPr="00412A49" w:rsidRDefault="00167D17" w:rsidP="001E7085">
      <w:pPr>
        <w:pStyle w:val="NormalWeb"/>
        <w:numPr>
          <w:ilvl w:val="0"/>
          <w:numId w:val="33"/>
        </w:numPr>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Details of their profession, employment history or background</w:t>
      </w:r>
      <w:r w:rsidR="001E7085" w:rsidRPr="00412A49">
        <w:rPr>
          <w:rFonts w:ascii="Calibri" w:hAnsi="Calibri"/>
          <w:bCs/>
          <w:color w:val="000000"/>
          <w:sz w:val="22"/>
          <w:szCs w:val="22"/>
        </w:rPr>
        <w:t>; and</w:t>
      </w:r>
    </w:p>
    <w:p w:rsidR="001E7085" w:rsidRPr="00412A49" w:rsidRDefault="00167D17" w:rsidP="001E7085">
      <w:pPr>
        <w:pStyle w:val="NormalWeb"/>
        <w:numPr>
          <w:ilvl w:val="0"/>
          <w:numId w:val="33"/>
        </w:numPr>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The length of time that they have known the applicant</w:t>
      </w:r>
      <w:r w:rsidR="001E7085" w:rsidRPr="00412A49">
        <w:rPr>
          <w:rFonts w:ascii="Calibri" w:hAnsi="Calibri"/>
          <w:bCs/>
          <w:color w:val="000000"/>
          <w:sz w:val="22"/>
          <w:szCs w:val="22"/>
        </w:rPr>
        <w:t>.</w:t>
      </w:r>
    </w:p>
    <w:p w:rsidR="00E73699" w:rsidRDefault="00E73699" w:rsidP="0086060B">
      <w:pPr>
        <w:pStyle w:val="NormalWeb"/>
        <w:spacing w:before="0" w:beforeAutospacing="0" w:after="0" w:afterAutospacing="0" w:line="360" w:lineRule="auto"/>
        <w:rPr>
          <w:rFonts w:ascii="Calibri" w:hAnsi="Calibri"/>
          <w:bCs/>
          <w:color w:val="000000"/>
          <w:sz w:val="22"/>
          <w:szCs w:val="22"/>
        </w:rPr>
      </w:pPr>
    </w:p>
    <w:p w:rsidR="00AF54C7" w:rsidRPr="00412A49" w:rsidRDefault="00AF54C7" w:rsidP="0086060B">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The details of profession or employment that must be provided</w:t>
      </w:r>
      <w:r w:rsidR="00B838F0" w:rsidRPr="00412A49">
        <w:rPr>
          <w:rFonts w:ascii="Calibri" w:hAnsi="Calibri"/>
          <w:bCs/>
          <w:color w:val="000000"/>
          <w:sz w:val="22"/>
          <w:szCs w:val="22"/>
        </w:rPr>
        <w:t xml:space="preserve"> by the deponent</w:t>
      </w:r>
      <w:r w:rsidRPr="00412A49">
        <w:rPr>
          <w:rFonts w:ascii="Calibri" w:hAnsi="Calibri"/>
          <w:bCs/>
          <w:color w:val="000000"/>
          <w:sz w:val="22"/>
          <w:szCs w:val="22"/>
        </w:rPr>
        <w:t xml:space="preserve"> depend upon the category in which the person falls within the definition of “acceptable deponent”.  For some deponents, </w:t>
      </w:r>
      <w:r w:rsidR="004A3C1D">
        <w:rPr>
          <w:rFonts w:ascii="Calibri" w:hAnsi="Calibri"/>
          <w:bCs/>
          <w:color w:val="000000"/>
          <w:sz w:val="22"/>
          <w:szCs w:val="22"/>
        </w:rPr>
        <w:t xml:space="preserve">stating that one is </w:t>
      </w:r>
      <w:r w:rsidRPr="00412A49">
        <w:rPr>
          <w:rFonts w:ascii="Calibri" w:hAnsi="Calibri"/>
          <w:bCs/>
          <w:color w:val="000000"/>
          <w:sz w:val="22"/>
          <w:szCs w:val="22"/>
        </w:rPr>
        <w:t>a member of a particular profession, for example a legal practitioner or a medical practitioner</w:t>
      </w:r>
      <w:r w:rsidR="004A3C1D">
        <w:rPr>
          <w:rFonts w:ascii="Calibri" w:hAnsi="Calibri"/>
          <w:bCs/>
          <w:color w:val="000000"/>
          <w:sz w:val="22"/>
          <w:szCs w:val="22"/>
        </w:rPr>
        <w:t xml:space="preserve"> will be sufficient detail</w:t>
      </w:r>
      <w:r w:rsidR="00C0728F" w:rsidRPr="00412A49">
        <w:rPr>
          <w:rFonts w:ascii="Calibri" w:hAnsi="Calibri"/>
          <w:bCs/>
          <w:color w:val="000000"/>
          <w:sz w:val="22"/>
          <w:szCs w:val="22"/>
        </w:rPr>
        <w:t>.  F</w:t>
      </w:r>
      <w:r w:rsidRPr="00412A49">
        <w:rPr>
          <w:rFonts w:ascii="Calibri" w:hAnsi="Calibri"/>
          <w:bCs/>
          <w:color w:val="000000"/>
          <w:sz w:val="22"/>
          <w:szCs w:val="22"/>
        </w:rPr>
        <w:t xml:space="preserve">or some others the person providing the affidavit as to character </w:t>
      </w:r>
      <w:r w:rsidR="00C0728F" w:rsidRPr="00412A49">
        <w:rPr>
          <w:rFonts w:ascii="Calibri" w:hAnsi="Calibri"/>
          <w:bCs/>
          <w:color w:val="000000"/>
          <w:sz w:val="22"/>
          <w:szCs w:val="22"/>
        </w:rPr>
        <w:t xml:space="preserve">will need to </w:t>
      </w:r>
      <w:r w:rsidRPr="00412A49">
        <w:rPr>
          <w:rFonts w:ascii="Calibri" w:hAnsi="Calibri"/>
          <w:bCs/>
          <w:color w:val="000000"/>
          <w:sz w:val="22"/>
          <w:szCs w:val="22"/>
        </w:rPr>
        <w:t xml:space="preserve">include further information relating to their employment or circumstances.  For example, a state public servant may provide an affidavit as to character if they are a “permanent employee of … a State… authority… with 5 or more years of continuous service” (see item 230 of Part 2 of Schedule 2 </w:t>
      </w:r>
      <w:r w:rsidRPr="00412A49">
        <w:rPr>
          <w:rFonts w:ascii="Calibri" w:hAnsi="Calibri"/>
          <w:bCs/>
          <w:i/>
          <w:color w:val="000000"/>
          <w:sz w:val="22"/>
          <w:szCs w:val="22"/>
        </w:rPr>
        <w:t>Statutory Declarations Regulations 1993 (</w:t>
      </w:r>
      <w:proofErr w:type="spellStart"/>
      <w:r w:rsidRPr="00412A49">
        <w:rPr>
          <w:rFonts w:ascii="Calibri" w:hAnsi="Calibri"/>
          <w:bCs/>
          <w:i/>
          <w:color w:val="000000"/>
          <w:sz w:val="22"/>
          <w:szCs w:val="22"/>
        </w:rPr>
        <w:t>Cwth</w:t>
      </w:r>
      <w:proofErr w:type="spellEnd"/>
      <w:r w:rsidRPr="00412A49">
        <w:rPr>
          <w:rFonts w:ascii="Calibri" w:hAnsi="Calibri"/>
          <w:bCs/>
          <w:i/>
          <w:color w:val="000000"/>
          <w:sz w:val="22"/>
          <w:szCs w:val="22"/>
        </w:rPr>
        <w:t>)</w:t>
      </w:r>
      <w:r w:rsidRPr="00412A49">
        <w:rPr>
          <w:rFonts w:ascii="Calibri" w:hAnsi="Calibri"/>
          <w:bCs/>
          <w:color w:val="000000"/>
          <w:sz w:val="22"/>
          <w:szCs w:val="22"/>
        </w:rPr>
        <w:t>).  Such a person would need to state something like the following in their affidavit:</w:t>
      </w:r>
    </w:p>
    <w:p w:rsidR="00AF54C7" w:rsidRPr="00961CF1" w:rsidRDefault="00AF54C7" w:rsidP="00961CF1">
      <w:pPr>
        <w:pStyle w:val="NormalWeb"/>
        <w:spacing w:before="0" w:beforeAutospacing="0" w:after="0" w:afterAutospacing="0"/>
        <w:ind w:left="539"/>
        <w:rPr>
          <w:rFonts w:ascii="Calibri" w:hAnsi="Calibri"/>
          <w:bCs/>
          <w:color w:val="000000"/>
          <w:sz w:val="22"/>
          <w:szCs w:val="22"/>
        </w:rPr>
      </w:pPr>
      <w:r w:rsidRPr="00961CF1">
        <w:rPr>
          <w:rFonts w:ascii="Calibri" w:hAnsi="Calibri"/>
          <w:bCs/>
          <w:color w:val="000000"/>
          <w:sz w:val="22"/>
          <w:szCs w:val="22"/>
        </w:rPr>
        <w:t xml:space="preserve">“I </w:t>
      </w:r>
      <w:r w:rsidR="00C0728F" w:rsidRPr="00961CF1">
        <w:rPr>
          <w:rFonts w:ascii="Calibri" w:hAnsi="Calibri"/>
          <w:bCs/>
          <w:color w:val="000000"/>
          <w:sz w:val="22"/>
          <w:szCs w:val="22"/>
        </w:rPr>
        <w:t xml:space="preserve">have been </w:t>
      </w:r>
      <w:r w:rsidRPr="00961CF1">
        <w:rPr>
          <w:rFonts w:ascii="Calibri" w:hAnsi="Calibri"/>
          <w:bCs/>
          <w:color w:val="000000"/>
          <w:sz w:val="22"/>
          <w:szCs w:val="22"/>
        </w:rPr>
        <w:t>a permanent employee in the Tasmanian public service</w:t>
      </w:r>
      <w:r w:rsidR="00C0728F" w:rsidRPr="00961CF1">
        <w:rPr>
          <w:rFonts w:ascii="Calibri" w:hAnsi="Calibri"/>
          <w:bCs/>
          <w:color w:val="000000"/>
          <w:sz w:val="22"/>
          <w:szCs w:val="22"/>
        </w:rPr>
        <w:t xml:space="preserve"> continuously </w:t>
      </w:r>
      <w:r w:rsidRPr="00961CF1">
        <w:rPr>
          <w:rFonts w:ascii="Calibri" w:hAnsi="Calibri"/>
          <w:bCs/>
          <w:color w:val="000000"/>
          <w:sz w:val="22"/>
          <w:szCs w:val="22"/>
        </w:rPr>
        <w:t>since 2001.”</w:t>
      </w:r>
    </w:p>
    <w:p w:rsidR="00E73699" w:rsidRDefault="00E73699" w:rsidP="0086060B">
      <w:pPr>
        <w:pStyle w:val="NormalWeb"/>
        <w:spacing w:before="0" w:beforeAutospacing="0" w:after="0" w:afterAutospacing="0" w:line="360" w:lineRule="auto"/>
        <w:rPr>
          <w:rFonts w:ascii="Calibri" w:hAnsi="Calibri"/>
          <w:bCs/>
          <w:color w:val="000000"/>
          <w:sz w:val="22"/>
          <w:szCs w:val="22"/>
        </w:rPr>
      </w:pPr>
    </w:p>
    <w:p w:rsidR="008326B9" w:rsidRPr="00412A49" w:rsidRDefault="0073289D" w:rsidP="0086060B">
      <w:pPr>
        <w:pStyle w:val="NormalWeb"/>
        <w:spacing w:before="0" w:beforeAutospacing="0" w:after="0" w:afterAutospacing="0" w:line="360" w:lineRule="auto"/>
        <w:rPr>
          <w:rFonts w:ascii="Calibri" w:hAnsi="Calibri"/>
          <w:bCs/>
          <w:i/>
          <w:color w:val="000000"/>
          <w:sz w:val="20"/>
          <w:szCs w:val="20"/>
        </w:rPr>
      </w:pPr>
      <w:r>
        <w:rPr>
          <w:rFonts w:ascii="Calibri" w:hAnsi="Calibri"/>
          <w:bCs/>
          <w:color w:val="000000"/>
          <w:sz w:val="22"/>
          <w:szCs w:val="22"/>
        </w:rPr>
        <w:t xml:space="preserve">In some instances it </w:t>
      </w:r>
      <w:r w:rsidR="00AF54C7" w:rsidRPr="00412A49">
        <w:rPr>
          <w:rFonts w:ascii="Calibri" w:hAnsi="Calibri"/>
          <w:bCs/>
          <w:color w:val="000000"/>
          <w:sz w:val="22"/>
          <w:szCs w:val="22"/>
        </w:rPr>
        <w:t>may be appropriate or necessary to obtain an affidavit as to chara</w:t>
      </w:r>
      <w:r w:rsidR="004D33E5" w:rsidRPr="00412A49">
        <w:rPr>
          <w:rFonts w:ascii="Calibri" w:hAnsi="Calibri"/>
          <w:bCs/>
          <w:color w:val="000000"/>
          <w:sz w:val="22"/>
          <w:szCs w:val="22"/>
        </w:rPr>
        <w:t xml:space="preserve">cter from a person who </w:t>
      </w:r>
      <w:r w:rsidR="00E73699">
        <w:rPr>
          <w:rFonts w:ascii="Calibri" w:hAnsi="Calibri"/>
          <w:bCs/>
          <w:color w:val="000000"/>
          <w:sz w:val="22"/>
          <w:szCs w:val="22"/>
        </w:rPr>
        <w:t>was never</w:t>
      </w:r>
      <w:r w:rsidR="00941378" w:rsidRPr="00412A49">
        <w:rPr>
          <w:rFonts w:ascii="Calibri" w:hAnsi="Calibri"/>
          <w:bCs/>
          <w:color w:val="000000"/>
          <w:sz w:val="22"/>
          <w:szCs w:val="22"/>
        </w:rPr>
        <w:t>,</w:t>
      </w:r>
      <w:r w:rsidR="00AF54C7" w:rsidRPr="00412A49">
        <w:rPr>
          <w:rFonts w:ascii="Calibri" w:hAnsi="Calibri"/>
          <w:bCs/>
          <w:color w:val="000000"/>
          <w:sz w:val="22"/>
          <w:szCs w:val="22"/>
        </w:rPr>
        <w:t xml:space="preserve"> or</w:t>
      </w:r>
      <w:r w:rsidR="00F02FDD" w:rsidRPr="00412A49">
        <w:rPr>
          <w:rFonts w:ascii="Calibri" w:hAnsi="Calibri"/>
          <w:bCs/>
          <w:color w:val="000000"/>
          <w:sz w:val="22"/>
          <w:szCs w:val="22"/>
        </w:rPr>
        <w:t xml:space="preserve"> </w:t>
      </w:r>
      <w:r w:rsidR="00C0728F" w:rsidRPr="00412A49">
        <w:rPr>
          <w:rFonts w:ascii="Calibri" w:hAnsi="Calibri"/>
          <w:bCs/>
          <w:color w:val="000000"/>
          <w:sz w:val="22"/>
          <w:szCs w:val="22"/>
        </w:rPr>
        <w:t xml:space="preserve">is </w:t>
      </w:r>
      <w:r w:rsidR="00AF54C7" w:rsidRPr="00412A49">
        <w:rPr>
          <w:rFonts w:ascii="Calibri" w:hAnsi="Calibri"/>
          <w:bCs/>
          <w:color w:val="000000"/>
          <w:sz w:val="22"/>
          <w:szCs w:val="22"/>
        </w:rPr>
        <w:t>no longer</w:t>
      </w:r>
      <w:r w:rsidR="00941378" w:rsidRPr="00412A49">
        <w:rPr>
          <w:rFonts w:ascii="Calibri" w:hAnsi="Calibri"/>
          <w:bCs/>
          <w:color w:val="000000"/>
          <w:sz w:val="22"/>
          <w:szCs w:val="22"/>
        </w:rPr>
        <w:t>,</w:t>
      </w:r>
      <w:r w:rsidR="00AF54C7" w:rsidRPr="00412A49">
        <w:rPr>
          <w:rFonts w:ascii="Calibri" w:hAnsi="Calibri"/>
          <w:bCs/>
          <w:color w:val="000000"/>
          <w:sz w:val="22"/>
          <w:szCs w:val="22"/>
        </w:rPr>
        <w:t xml:space="preserve"> </w:t>
      </w:r>
      <w:r w:rsidR="00C0728F" w:rsidRPr="00412A49">
        <w:rPr>
          <w:rFonts w:ascii="Calibri" w:hAnsi="Calibri"/>
          <w:bCs/>
          <w:color w:val="000000"/>
          <w:sz w:val="22"/>
          <w:szCs w:val="22"/>
        </w:rPr>
        <w:t>an acceptable deponent</w:t>
      </w:r>
      <w:r w:rsidR="00AF54C7" w:rsidRPr="00412A49">
        <w:rPr>
          <w:rFonts w:ascii="Calibri" w:hAnsi="Calibri"/>
          <w:bCs/>
          <w:color w:val="000000"/>
          <w:sz w:val="22"/>
          <w:szCs w:val="22"/>
        </w:rPr>
        <w:t xml:space="preserve">.  </w:t>
      </w:r>
      <w:r w:rsidR="00EF742B" w:rsidRPr="00412A49">
        <w:rPr>
          <w:rFonts w:ascii="Calibri" w:hAnsi="Calibri"/>
          <w:bCs/>
          <w:color w:val="000000"/>
          <w:sz w:val="22"/>
          <w:szCs w:val="22"/>
        </w:rPr>
        <w:t>For example</w:t>
      </w:r>
      <w:r w:rsidR="0033501C" w:rsidRPr="00412A49">
        <w:rPr>
          <w:rFonts w:ascii="Calibri" w:hAnsi="Calibri"/>
          <w:bCs/>
          <w:color w:val="000000"/>
          <w:sz w:val="22"/>
          <w:szCs w:val="22"/>
        </w:rPr>
        <w:t>,</w:t>
      </w:r>
      <w:r w:rsidR="00EF742B" w:rsidRPr="00412A49">
        <w:rPr>
          <w:rFonts w:ascii="Calibri" w:hAnsi="Calibri"/>
          <w:bCs/>
          <w:color w:val="000000"/>
          <w:sz w:val="22"/>
          <w:szCs w:val="22"/>
        </w:rPr>
        <w:t xml:space="preserve"> the applicant’s circumstances </w:t>
      </w:r>
      <w:r w:rsidR="004D33E5" w:rsidRPr="00412A49">
        <w:rPr>
          <w:rFonts w:ascii="Calibri" w:hAnsi="Calibri"/>
          <w:bCs/>
          <w:color w:val="000000"/>
          <w:sz w:val="22"/>
          <w:szCs w:val="22"/>
        </w:rPr>
        <w:t xml:space="preserve">may be </w:t>
      </w:r>
      <w:r w:rsidR="00EF742B" w:rsidRPr="00412A49">
        <w:rPr>
          <w:rFonts w:ascii="Calibri" w:hAnsi="Calibri"/>
          <w:bCs/>
          <w:color w:val="000000"/>
          <w:sz w:val="22"/>
          <w:szCs w:val="22"/>
        </w:rPr>
        <w:t xml:space="preserve">such that the people best placed to assure the Court of the applicant’s good character do not fit the criteria. </w:t>
      </w:r>
      <w:r w:rsidR="00941378" w:rsidRPr="00412A49">
        <w:rPr>
          <w:rFonts w:ascii="Calibri" w:hAnsi="Calibri"/>
          <w:bCs/>
          <w:color w:val="000000"/>
          <w:sz w:val="22"/>
          <w:szCs w:val="22"/>
        </w:rPr>
        <w:t xml:space="preserve"> In these cases the Court </w:t>
      </w:r>
      <w:r w:rsidR="009821EC">
        <w:rPr>
          <w:rFonts w:ascii="Calibri" w:hAnsi="Calibri"/>
          <w:bCs/>
          <w:color w:val="000000"/>
          <w:sz w:val="22"/>
          <w:szCs w:val="22"/>
        </w:rPr>
        <w:t>can</w:t>
      </w:r>
      <w:r w:rsidR="00941378" w:rsidRPr="00412A49">
        <w:rPr>
          <w:rFonts w:ascii="Calibri" w:hAnsi="Calibri"/>
          <w:bCs/>
          <w:color w:val="000000"/>
          <w:sz w:val="22"/>
          <w:szCs w:val="22"/>
        </w:rPr>
        <w:t xml:space="preserve"> “determine” that the deponent is acceptable.  To make this determination the Court must be provided with information </w:t>
      </w:r>
      <w:r w:rsidR="0079414D" w:rsidRPr="00412A49">
        <w:rPr>
          <w:rFonts w:ascii="Calibri" w:hAnsi="Calibri"/>
          <w:bCs/>
          <w:color w:val="000000"/>
          <w:sz w:val="22"/>
          <w:szCs w:val="22"/>
        </w:rPr>
        <w:t>about the deponent’s background</w:t>
      </w:r>
      <w:r w:rsidR="0033501C" w:rsidRPr="00412A49">
        <w:rPr>
          <w:rFonts w:ascii="Calibri" w:hAnsi="Calibri"/>
          <w:bCs/>
          <w:color w:val="000000"/>
          <w:sz w:val="22"/>
          <w:szCs w:val="22"/>
        </w:rPr>
        <w:t xml:space="preserve"> such as details of their employment</w:t>
      </w:r>
      <w:r w:rsidR="00F02FDD" w:rsidRPr="00412A49">
        <w:rPr>
          <w:rFonts w:ascii="Calibri" w:hAnsi="Calibri"/>
          <w:bCs/>
          <w:color w:val="000000"/>
          <w:sz w:val="22"/>
          <w:szCs w:val="22"/>
        </w:rPr>
        <w:t xml:space="preserve"> or employment history</w:t>
      </w:r>
      <w:r w:rsidR="0033501C" w:rsidRPr="00412A49">
        <w:rPr>
          <w:rFonts w:ascii="Calibri" w:hAnsi="Calibri"/>
          <w:bCs/>
          <w:color w:val="000000"/>
          <w:sz w:val="22"/>
          <w:szCs w:val="22"/>
        </w:rPr>
        <w:t>, their un-paid work, their community or charity work</w:t>
      </w:r>
      <w:r w:rsidR="0079414D" w:rsidRPr="00412A49">
        <w:rPr>
          <w:rFonts w:ascii="Calibri" w:hAnsi="Calibri"/>
          <w:bCs/>
          <w:color w:val="000000"/>
          <w:sz w:val="22"/>
          <w:szCs w:val="22"/>
        </w:rPr>
        <w:t xml:space="preserve">.  This information should be provided in the deponent’s affidavit.  </w:t>
      </w:r>
    </w:p>
    <w:p w:rsidR="00B778F5" w:rsidRPr="00412A49" w:rsidRDefault="00B778F5" w:rsidP="008326B9">
      <w:pPr>
        <w:pStyle w:val="NormalWeb"/>
        <w:spacing w:before="0" w:beforeAutospacing="0" w:after="0" w:afterAutospacing="0" w:line="360" w:lineRule="auto"/>
        <w:rPr>
          <w:rFonts w:ascii="Calibri" w:hAnsi="Calibri"/>
          <w:b/>
          <w:bCs/>
          <w:color w:val="000000"/>
          <w:sz w:val="22"/>
          <w:szCs w:val="22"/>
        </w:rPr>
      </w:pPr>
    </w:p>
    <w:p w:rsidR="008326B9" w:rsidRPr="002C56D1" w:rsidRDefault="008326B9" w:rsidP="00AA6D47">
      <w:pPr>
        <w:pStyle w:val="NormalWeb"/>
        <w:numPr>
          <w:ilvl w:val="0"/>
          <w:numId w:val="40"/>
        </w:numPr>
        <w:spacing w:before="0" w:beforeAutospacing="0" w:after="0" w:afterAutospacing="0" w:line="360" w:lineRule="auto"/>
        <w:rPr>
          <w:rFonts w:ascii="Calibri" w:hAnsi="Calibri"/>
          <w:b/>
          <w:bCs/>
          <w:color w:val="000000"/>
          <w:sz w:val="22"/>
          <w:szCs w:val="22"/>
          <w:u w:val="single"/>
        </w:rPr>
      </w:pPr>
      <w:r w:rsidRPr="002C56D1">
        <w:rPr>
          <w:rFonts w:ascii="Calibri" w:hAnsi="Calibri"/>
          <w:b/>
          <w:bCs/>
          <w:i/>
          <w:color w:val="000000"/>
        </w:rPr>
        <w:t>The nature of the deponent’s relationship with the applicant</w:t>
      </w:r>
      <w:r w:rsidRPr="002C56D1">
        <w:rPr>
          <w:rFonts w:ascii="Calibri" w:hAnsi="Calibri"/>
          <w:b/>
          <w:bCs/>
          <w:color w:val="000000"/>
          <w:sz w:val="22"/>
          <w:szCs w:val="22"/>
        </w:rPr>
        <w:t>:</w:t>
      </w:r>
    </w:p>
    <w:p w:rsidR="00337415" w:rsidRPr="00412A49" w:rsidRDefault="00AF54C7" w:rsidP="0086060B">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In addition to details of why a person is an “acceptable deponent” the deponent must</w:t>
      </w:r>
      <w:r w:rsidR="007E774D">
        <w:rPr>
          <w:rFonts w:ascii="Calibri" w:hAnsi="Calibri"/>
          <w:bCs/>
          <w:color w:val="000000"/>
          <w:sz w:val="22"/>
          <w:szCs w:val="22"/>
        </w:rPr>
        <w:t xml:space="preserve"> </w:t>
      </w:r>
      <w:r w:rsidRPr="00412A49">
        <w:rPr>
          <w:rFonts w:ascii="Calibri" w:hAnsi="Calibri"/>
          <w:bCs/>
          <w:color w:val="000000"/>
          <w:sz w:val="22"/>
          <w:szCs w:val="22"/>
        </w:rPr>
        <w:t>provide information about the</w:t>
      </w:r>
      <w:r w:rsidR="0033501C" w:rsidRPr="00412A49">
        <w:rPr>
          <w:rFonts w:ascii="Calibri" w:hAnsi="Calibri"/>
          <w:bCs/>
          <w:color w:val="000000"/>
          <w:sz w:val="22"/>
          <w:szCs w:val="22"/>
        </w:rPr>
        <w:t xml:space="preserve"> length and</w:t>
      </w:r>
      <w:r w:rsidRPr="00412A49">
        <w:rPr>
          <w:rFonts w:ascii="Calibri" w:hAnsi="Calibri"/>
          <w:bCs/>
          <w:color w:val="000000"/>
          <w:sz w:val="22"/>
          <w:szCs w:val="22"/>
        </w:rPr>
        <w:t xml:space="preserve"> circumstances </w:t>
      </w:r>
      <w:r w:rsidR="0033501C" w:rsidRPr="00412A49">
        <w:rPr>
          <w:rFonts w:ascii="Calibri" w:hAnsi="Calibri"/>
          <w:bCs/>
          <w:color w:val="000000"/>
          <w:sz w:val="22"/>
          <w:szCs w:val="22"/>
        </w:rPr>
        <w:t>of their acquaintance with the</w:t>
      </w:r>
      <w:r w:rsidRPr="00412A49">
        <w:rPr>
          <w:rFonts w:ascii="Calibri" w:hAnsi="Calibri"/>
          <w:bCs/>
          <w:color w:val="000000"/>
          <w:sz w:val="22"/>
          <w:szCs w:val="22"/>
        </w:rPr>
        <w:t xml:space="preserve"> </w:t>
      </w:r>
      <w:proofErr w:type="gramStart"/>
      <w:r w:rsidRPr="00412A49">
        <w:rPr>
          <w:rFonts w:ascii="Calibri" w:hAnsi="Calibri"/>
          <w:bCs/>
          <w:color w:val="000000"/>
          <w:sz w:val="22"/>
          <w:szCs w:val="22"/>
        </w:rPr>
        <w:lastRenderedPageBreak/>
        <w:t>applicant</w:t>
      </w:r>
      <w:proofErr w:type="gramEnd"/>
      <w:r w:rsidRPr="00412A49">
        <w:rPr>
          <w:rFonts w:ascii="Calibri" w:hAnsi="Calibri"/>
          <w:bCs/>
          <w:color w:val="000000"/>
          <w:sz w:val="22"/>
          <w:szCs w:val="22"/>
        </w:rPr>
        <w:t xml:space="preserve">. </w:t>
      </w:r>
      <w:r w:rsidR="006A0EC3" w:rsidRPr="00412A49">
        <w:rPr>
          <w:rFonts w:ascii="Calibri" w:hAnsi="Calibri"/>
          <w:bCs/>
          <w:color w:val="000000"/>
          <w:sz w:val="22"/>
          <w:szCs w:val="22"/>
        </w:rPr>
        <w:t>See the example given below under the sub-heading “</w:t>
      </w:r>
      <w:r w:rsidR="007E774D">
        <w:rPr>
          <w:rFonts w:ascii="Calibri" w:hAnsi="Calibri"/>
          <w:bCs/>
          <w:color w:val="000000"/>
          <w:sz w:val="22"/>
          <w:szCs w:val="22"/>
        </w:rPr>
        <w:t>An example of the content of an affidavit as to character</w:t>
      </w:r>
      <w:r w:rsidR="006A0EC3" w:rsidRPr="00412A49">
        <w:rPr>
          <w:rFonts w:ascii="Calibri" w:hAnsi="Calibri"/>
          <w:bCs/>
          <w:color w:val="000000"/>
          <w:sz w:val="22"/>
          <w:szCs w:val="22"/>
        </w:rPr>
        <w:t>”.</w:t>
      </w:r>
      <w:r w:rsidRPr="00412A49">
        <w:rPr>
          <w:rFonts w:ascii="Calibri" w:hAnsi="Calibri"/>
          <w:bCs/>
          <w:color w:val="000000"/>
          <w:sz w:val="22"/>
          <w:szCs w:val="22"/>
        </w:rPr>
        <w:t xml:space="preserve"> </w:t>
      </w:r>
    </w:p>
    <w:p w:rsidR="0033501C" w:rsidRPr="00412A49" w:rsidRDefault="0033501C" w:rsidP="0033501C">
      <w:pPr>
        <w:pStyle w:val="NormalWeb"/>
        <w:spacing w:before="0" w:beforeAutospacing="0" w:after="0" w:afterAutospacing="0" w:line="360" w:lineRule="auto"/>
        <w:rPr>
          <w:rFonts w:ascii="Calibri" w:hAnsi="Calibri"/>
          <w:b/>
          <w:bCs/>
          <w:color w:val="000000"/>
          <w:sz w:val="22"/>
          <w:szCs w:val="22"/>
        </w:rPr>
      </w:pPr>
    </w:p>
    <w:p w:rsidR="0033501C" w:rsidRPr="002C56D1" w:rsidRDefault="0033501C" w:rsidP="000203E5">
      <w:pPr>
        <w:pStyle w:val="NormalWeb"/>
        <w:numPr>
          <w:ilvl w:val="0"/>
          <w:numId w:val="40"/>
        </w:numPr>
        <w:spacing w:before="0" w:beforeAutospacing="0" w:after="0" w:afterAutospacing="0" w:line="360" w:lineRule="auto"/>
        <w:rPr>
          <w:rFonts w:ascii="Calibri" w:hAnsi="Calibri"/>
          <w:b/>
          <w:bCs/>
          <w:i/>
          <w:color w:val="000000"/>
        </w:rPr>
      </w:pPr>
      <w:r w:rsidRPr="002C56D1">
        <w:rPr>
          <w:rFonts w:ascii="Calibri" w:hAnsi="Calibri"/>
          <w:b/>
          <w:bCs/>
          <w:i/>
          <w:color w:val="000000"/>
        </w:rPr>
        <w:t>The deponent’s belief that the applicant is of good character</w:t>
      </w:r>
    </w:p>
    <w:p w:rsidR="00337415" w:rsidRPr="00412A49" w:rsidRDefault="00AF54C7" w:rsidP="0086060B">
      <w:pPr>
        <w:pStyle w:val="NormalWeb"/>
        <w:spacing w:before="0" w:beforeAutospacing="0" w:after="0" w:afterAutospacing="0" w:line="360" w:lineRule="auto"/>
        <w:rPr>
          <w:rFonts w:ascii="Calibri" w:hAnsi="Calibri"/>
          <w:bCs/>
          <w:color w:val="000000"/>
          <w:sz w:val="22"/>
          <w:szCs w:val="22"/>
        </w:rPr>
      </w:pPr>
      <w:r w:rsidRPr="00412A49">
        <w:rPr>
          <w:rFonts w:ascii="Calibri" w:hAnsi="Calibri"/>
          <w:bCs/>
          <w:color w:val="000000"/>
          <w:sz w:val="22"/>
          <w:szCs w:val="22"/>
        </w:rPr>
        <w:t>Finally the deponent should be able to provide reasons why they believe that the applicant is of good reputation and character.</w:t>
      </w:r>
      <w:r w:rsidR="00337415" w:rsidRPr="00412A49">
        <w:rPr>
          <w:rFonts w:ascii="Calibri" w:hAnsi="Calibri"/>
          <w:bCs/>
          <w:color w:val="000000"/>
          <w:sz w:val="22"/>
          <w:szCs w:val="22"/>
        </w:rPr>
        <w:t xml:space="preserve"> If there are matters adverse to the applicant that have been disclosed in the application then the deponent </w:t>
      </w:r>
      <w:r w:rsidR="00337415" w:rsidRPr="00412A49">
        <w:rPr>
          <w:rFonts w:ascii="Calibri" w:hAnsi="Calibri"/>
          <w:b/>
          <w:bCs/>
          <w:color w:val="000000"/>
          <w:sz w:val="22"/>
          <w:szCs w:val="22"/>
        </w:rPr>
        <w:t xml:space="preserve">must </w:t>
      </w:r>
      <w:r w:rsidR="00337415" w:rsidRPr="00412A49">
        <w:rPr>
          <w:rFonts w:ascii="Calibri" w:hAnsi="Calibri"/>
          <w:bCs/>
          <w:color w:val="000000"/>
          <w:sz w:val="22"/>
          <w:szCs w:val="22"/>
        </w:rPr>
        <w:t>be able to indicate that they are aware of those adverse matters.</w:t>
      </w:r>
      <w:r w:rsidR="00B0737C" w:rsidRPr="00412A49">
        <w:rPr>
          <w:rFonts w:ascii="Calibri" w:hAnsi="Calibri"/>
          <w:bCs/>
          <w:color w:val="000000"/>
          <w:sz w:val="22"/>
          <w:szCs w:val="22"/>
        </w:rPr>
        <w:t xml:space="preserve">  If the matters are serious ones then the deponent </w:t>
      </w:r>
      <w:r w:rsidR="003F11B9" w:rsidRPr="00412A49">
        <w:rPr>
          <w:rFonts w:ascii="Calibri" w:hAnsi="Calibri"/>
          <w:bCs/>
          <w:color w:val="000000"/>
          <w:sz w:val="22"/>
          <w:szCs w:val="22"/>
        </w:rPr>
        <w:t>should</w:t>
      </w:r>
      <w:r w:rsidR="00B0737C" w:rsidRPr="00412A49">
        <w:rPr>
          <w:rFonts w:ascii="Calibri" w:hAnsi="Calibri"/>
          <w:bCs/>
          <w:color w:val="000000"/>
          <w:sz w:val="22"/>
          <w:szCs w:val="22"/>
        </w:rPr>
        <w:t xml:space="preserve"> </w:t>
      </w:r>
      <w:r w:rsidR="00BE4F3B" w:rsidRPr="00412A49">
        <w:rPr>
          <w:rFonts w:ascii="Calibri" w:hAnsi="Calibri"/>
          <w:bCs/>
          <w:color w:val="000000"/>
          <w:sz w:val="22"/>
          <w:szCs w:val="22"/>
        </w:rPr>
        <w:t>explain</w:t>
      </w:r>
      <w:r w:rsidR="00B0737C" w:rsidRPr="00412A49">
        <w:rPr>
          <w:rFonts w:ascii="Calibri" w:hAnsi="Calibri"/>
          <w:bCs/>
          <w:color w:val="000000"/>
          <w:sz w:val="22"/>
          <w:szCs w:val="22"/>
        </w:rPr>
        <w:t xml:space="preserve"> why they believe that the applicant is of good character despite the adverse matters that have been disclosed.</w:t>
      </w:r>
      <w:r w:rsidR="009821EC">
        <w:rPr>
          <w:rFonts w:ascii="Calibri" w:hAnsi="Calibri"/>
          <w:bCs/>
          <w:color w:val="000000"/>
          <w:sz w:val="22"/>
          <w:szCs w:val="22"/>
        </w:rPr>
        <w:t xml:space="preserve">  An example of the sort of information that might be provided by a deponent who knows about adverse matters is given below.</w:t>
      </w:r>
    </w:p>
    <w:p w:rsidR="00E71138" w:rsidRDefault="00E71138" w:rsidP="00E71138">
      <w:pPr>
        <w:pStyle w:val="NormalWeb"/>
        <w:spacing w:before="0" w:beforeAutospacing="0" w:after="0" w:afterAutospacing="0" w:line="360" w:lineRule="auto"/>
        <w:rPr>
          <w:rFonts w:ascii="Calibri" w:hAnsi="Calibri"/>
          <w:bCs/>
          <w:color w:val="000000"/>
          <w:sz w:val="22"/>
          <w:szCs w:val="22"/>
        </w:rPr>
      </w:pPr>
    </w:p>
    <w:p w:rsidR="00E71138" w:rsidRPr="00504D83" w:rsidRDefault="00E71138" w:rsidP="000203E5">
      <w:pPr>
        <w:pStyle w:val="NormalWeb"/>
        <w:numPr>
          <w:ilvl w:val="0"/>
          <w:numId w:val="40"/>
        </w:numPr>
        <w:spacing w:before="0" w:beforeAutospacing="0" w:after="0" w:afterAutospacing="0" w:line="360" w:lineRule="auto"/>
        <w:rPr>
          <w:rFonts w:ascii="Calibri" w:hAnsi="Calibri"/>
          <w:b/>
          <w:bCs/>
          <w:i/>
          <w:color w:val="000000"/>
        </w:rPr>
      </w:pPr>
      <w:r w:rsidRPr="00504D83">
        <w:rPr>
          <w:rFonts w:ascii="Calibri" w:hAnsi="Calibri"/>
          <w:b/>
          <w:bCs/>
          <w:i/>
          <w:color w:val="000000"/>
        </w:rPr>
        <w:t>An example of the content of an affidavit as to character</w:t>
      </w:r>
    </w:p>
    <w:p w:rsidR="00E71138" w:rsidRPr="00436551" w:rsidRDefault="00E71138"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 xml:space="preserve">I am not married to the applicant, in a significant relationship with the </w:t>
      </w:r>
      <w:proofErr w:type="gramStart"/>
      <w:r w:rsidRPr="00436551">
        <w:rPr>
          <w:rFonts w:ascii="Calibri" w:hAnsi="Calibri"/>
          <w:bCs/>
          <w:color w:val="000000"/>
          <w:sz w:val="22"/>
          <w:szCs w:val="22"/>
        </w:rPr>
        <w:t>applicant</w:t>
      </w:r>
      <w:proofErr w:type="gramEnd"/>
      <w:r w:rsidRPr="00436551">
        <w:rPr>
          <w:rFonts w:ascii="Calibri" w:hAnsi="Calibri"/>
          <w:bCs/>
          <w:color w:val="000000"/>
          <w:sz w:val="22"/>
          <w:szCs w:val="22"/>
        </w:rPr>
        <w:t>, or a close blood relative of the applicant.</w:t>
      </w:r>
    </w:p>
    <w:p w:rsidR="00140961" w:rsidRPr="00436551" w:rsidRDefault="00140961"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 xml:space="preserve">I am a </w:t>
      </w:r>
      <w:r w:rsidR="003A5666">
        <w:rPr>
          <w:rFonts w:ascii="Calibri" w:hAnsi="Calibri"/>
          <w:bCs/>
          <w:color w:val="000000"/>
          <w:sz w:val="22"/>
          <w:szCs w:val="22"/>
        </w:rPr>
        <w:t xml:space="preserve">full-time </w:t>
      </w:r>
      <w:r w:rsidR="001E0F7B">
        <w:rPr>
          <w:rFonts w:ascii="Calibri" w:hAnsi="Calibri"/>
          <w:bCs/>
          <w:color w:val="000000"/>
          <w:sz w:val="22"/>
          <w:szCs w:val="22"/>
        </w:rPr>
        <w:t>teacher</w:t>
      </w:r>
      <w:r w:rsidR="003A5666">
        <w:rPr>
          <w:rFonts w:ascii="Calibri" w:hAnsi="Calibri"/>
          <w:bCs/>
          <w:color w:val="000000"/>
          <w:sz w:val="22"/>
          <w:szCs w:val="22"/>
        </w:rPr>
        <w:t xml:space="preserve"> currently employed at ? Primary School </w:t>
      </w:r>
      <w:r w:rsidRPr="00436551">
        <w:rPr>
          <w:rFonts w:ascii="Calibri" w:hAnsi="Calibri"/>
          <w:bCs/>
          <w:color w:val="000000"/>
          <w:sz w:val="22"/>
          <w:szCs w:val="22"/>
        </w:rPr>
        <w:t xml:space="preserve">. </w:t>
      </w:r>
    </w:p>
    <w:p w:rsidR="00140961" w:rsidRPr="00436551" w:rsidRDefault="002C42C3"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I have liv</w:t>
      </w:r>
      <w:r w:rsidR="00140961" w:rsidRPr="00436551">
        <w:rPr>
          <w:rFonts w:ascii="Calibri" w:hAnsi="Calibri"/>
          <w:bCs/>
          <w:color w:val="000000"/>
          <w:sz w:val="22"/>
          <w:szCs w:val="22"/>
        </w:rPr>
        <w:t>e</w:t>
      </w:r>
      <w:r w:rsidRPr="00436551">
        <w:rPr>
          <w:rFonts w:ascii="Calibri" w:hAnsi="Calibri"/>
          <w:bCs/>
          <w:color w:val="000000"/>
          <w:sz w:val="22"/>
          <w:szCs w:val="22"/>
        </w:rPr>
        <w:t>d</w:t>
      </w:r>
      <w:r w:rsidR="00140961" w:rsidRPr="00436551">
        <w:rPr>
          <w:rFonts w:ascii="Calibri" w:hAnsi="Calibri"/>
          <w:bCs/>
          <w:color w:val="000000"/>
          <w:sz w:val="22"/>
          <w:szCs w:val="22"/>
        </w:rPr>
        <w:t xml:space="preserve"> next door to the applicant’s parents</w:t>
      </w:r>
      <w:r w:rsidR="00D63AD9" w:rsidRPr="00436551">
        <w:rPr>
          <w:rFonts w:ascii="Calibri" w:hAnsi="Calibri"/>
          <w:bCs/>
          <w:color w:val="000000"/>
          <w:sz w:val="22"/>
          <w:szCs w:val="22"/>
        </w:rPr>
        <w:t xml:space="preserve"> since 1993</w:t>
      </w:r>
      <w:r w:rsidR="00140961" w:rsidRPr="00436551">
        <w:rPr>
          <w:rFonts w:ascii="Calibri" w:hAnsi="Calibri"/>
          <w:bCs/>
          <w:color w:val="000000"/>
          <w:sz w:val="22"/>
          <w:szCs w:val="22"/>
        </w:rPr>
        <w:t>.  I have</w:t>
      </w:r>
      <w:r w:rsidR="00D63AD9" w:rsidRPr="00436551">
        <w:rPr>
          <w:rFonts w:ascii="Calibri" w:hAnsi="Calibri"/>
          <w:bCs/>
          <w:color w:val="000000"/>
          <w:sz w:val="22"/>
          <w:szCs w:val="22"/>
        </w:rPr>
        <w:t xml:space="preserve"> therefore</w:t>
      </w:r>
      <w:r w:rsidR="00140961" w:rsidRPr="00436551">
        <w:rPr>
          <w:rFonts w:ascii="Calibri" w:hAnsi="Calibri"/>
          <w:bCs/>
          <w:color w:val="000000"/>
          <w:sz w:val="22"/>
          <w:szCs w:val="22"/>
        </w:rPr>
        <w:t xml:space="preserve"> known the applicant </w:t>
      </w:r>
      <w:r w:rsidR="00E71138" w:rsidRPr="00436551">
        <w:rPr>
          <w:rFonts w:ascii="Calibri" w:hAnsi="Calibri"/>
          <w:bCs/>
          <w:color w:val="000000"/>
          <w:sz w:val="22"/>
          <w:szCs w:val="22"/>
        </w:rPr>
        <w:t xml:space="preserve">and her family </w:t>
      </w:r>
      <w:r w:rsidR="00D63AD9" w:rsidRPr="00436551">
        <w:rPr>
          <w:rFonts w:ascii="Calibri" w:hAnsi="Calibri"/>
          <w:bCs/>
          <w:color w:val="000000"/>
          <w:sz w:val="22"/>
          <w:szCs w:val="22"/>
        </w:rPr>
        <w:t>from</w:t>
      </w:r>
      <w:r w:rsidR="00140961" w:rsidRPr="00436551">
        <w:rPr>
          <w:rFonts w:ascii="Calibri" w:hAnsi="Calibri"/>
          <w:bCs/>
          <w:color w:val="000000"/>
          <w:sz w:val="22"/>
          <w:szCs w:val="22"/>
        </w:rPr>
        <w:t xml:space="preserve"> 1993 till the present.  </w:t>
      </w:r>
    </w:p>
    <w:p w:rsidR="00140961" w:rsidRPr="00436551" w:rsidRDefault="00140961"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 xml:space="preserve">The applicant was a close friend of my oldest child and spent time at my house in this context. The applicant </w:t>
      </w:r>
      <w:r w:rsidR="00711547" w:rsidRPr="00436551">
        <w:rPr>
          <w:rFonts w:ascii="Calibri" w:hAnsi="Calibri"/>
          <w:bCs/>
          <w:color w:val="000000"/>
          <w:sz w:val="22"/>
          <w:szCs w:val="22"/>
        </w:rPr>
        <w:t xml:space="preserve">also </w:t>
      </w:r>
      <w:r w:rsidRPr="00436551">
        <w:rPr>
          <w:rFonts w:ascii="Calibri" w:hAnsi="Calibri"/>
          <w:bCs/>
          <w:color w:val="000000"/>
          <w:sz w:val="22"/>
          <w:szCs w:val="22"/>
        </w:rPr>
        <w:t xml:space="preserve">worked as a baby sitter for me on many occasions.  She also worked as a nanny for two of my younger children </w:t>
      </w:r>
      <w:r w:rsidR="00711547" w:rsidRPr="00436551">
        <w:rPr>
          <w:rFonts w:ascii="Calibri" w:hAnsi="Calibri"/>
          <w:bCs/>
          <w:color w:val="000000"/>
          <w:sz w:val="22"/>
          <w:szCs w:val="22"/>
        </w:rPr>
        <w:t>for three years while she was at University</w:t>
      </w:r>
      <w:r w:rsidRPr="00436551">
        <w:rPr>
          <w:rFonts w:ascii="Calibri" w:hAnsi="Calibri"/>
          <w:bCs/>
          <w:color w:val="000000"/>
          <w:sz w:val="22"/>
          <w:szCs w:val="22"/>
        </w:rPr>
        <w:t>.</w:t>
      </w:r>
      <w:r w:rsidR="00374BF9" w:rsidRPr="00436551">
        <w:rPr>
          <w:rFonts w:ascii="Calibri" w:hAnsi="Calibri"/>
          <w:bCs/>
          <w:color w:val="000000"/>
          <w:sz w:val="22"/>
          <w:szCs w:val="22"/>
        </w:rPr>
        <w:t xml:space="preserve">  Her work hours were variable but were usually roughly three blocks of 3-4 hours each week.</w:t>
      </w:r>
      <w:r w:rsidRPr="00436551">
        <w:rPr>
          <w:rFonts w:ascii="Calibri" w:hAnsi="Calibri"/>
          <w:bCs/>
          <w:color w:val="000000"/>
          <w:sz w:val="22"/>
          <w:szCs w:val="22"/>
        </w:rPr>
        <w:t xml:space="preserve"> </w:t>
      </w:r>
    </w:p>
    <w:p w:rsidR="00140961" w:rsidRPr="00436551" w:rsidRDefault="00140961"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 xml:space="preserve">The applicant has always been a happy, kind and responsible presence in my home and with my children.  I trust her </w:t>
      </w:r>
      <w:r w:rsidR="00F038AE">
        <w:rPr>
          <w:rFonts w:ascii="Calibri" w:hAnsi="Calibri"/>
          <w:bCs/>
          <w:color w:val="000000"/>
          <w:sz w:val="22"/>
          <w:szCs w:val="22"/>
        </w:rPr>
        <w:t>completely</w:t>
      </w:r>
      <w:r w:rsidRPr="00436551">
        <w:rPr>
          <w:rFonts w:ascii="Calibri" w:hAnsi="Calibri"/>
          <w:bCs/>
          <w:color w:val="000000"/>
          <w:sz w:val="22"/>
          <w:szCs w:val="22"/>
        </w:rPr>
        <w:t xml:space="preserve">. </w:t>
      </w:r>
    </w:p>
    <w:p w:rsidR="00786C29" w:rsidRPr="00436551" w:rsidRDefault="00140961"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The applicant told me about her conviction</w:t>
      </w:r>
      <w:r w:rsidR="00492BEE" w:rsidRPr="00436551">
        <w:rPr>
          <w:rFonts w:ascii="Calibri" w:hAnsi="Calibri"/>
          <w:bCs/>
          <w:color w:val="000000"/>
          <w:sz w:val="22"/>
          <w:szCs w:val="22"/>
        </w:rPr>
        <w:t>s</w:t>
      </w:r>
      <w:r w:rsidRPr="00436551">
        <w:rPr>
          <w:rFonts w:ascii="Calibri" w:hAnsi="Calibri"/>
          <w:bCs/>
          <w:color w:val="000000"/>
          <w:sz w:val="22"/>
          <w:szCs w:val="22"/>
        </w:rPr>
        <w:t xml:space="preserve"> for possession of marijuana </w:t>
      </w:r>
      <w:r w:rsidR="00492BEE" w:rsidRPr="00436551">
        <w:rPr>
          <w:rFonts w:ascii="Calibri" w:hAnsi="Calibri"/>
          <w:bCs/>
          <w:color w:val="000000"/>
          <w:sz w:val="22"/>
          <w:szCs w:val="22"/>
        </w:rPr>
        <w:t xml:space="preserve">and giving a false name to police </w:t>
      </w:r>
      <w:r w:rsidRPr="00436551">
        <w:rPr>
          <w:rFonts w:ascii="Calibri" w:hAnsi="Calibri"/>
          <w:bCs/>
          <w:color w:val="000000"/>
          <w:sz w:val="22"/>
          <w:szCs w:val="22"/>
        </w:rPr>
        <w:t xml:space="preserve">at the time </w:t>
      </w:r>
      <w:r w:rsidR="00F038AE">
        <w:rPr>
          <w:rFonts w:ascii="Calibri" w:hAnsi="Calibri"/>
          <w:bCs/>
          <w:color w:val="000000"/>
          <w:sz w:val="22"/>
          <w:szCs w:val="22"/>
        </w:rPr>
        <w:t>she was convicted</w:t>
      </w:r>
      <w:r w:rsidRPr="00436551">
        <w:rPr>
          <w:rFonts w:ascii="Calibri" w:hAnsi="Calibri"/>
          <w:bCs/>
          <w:color w:val="000000"/>
          <w:sz w:val="22"/>
          <w:szCs w:val="22"/>
        </w:rPr>
        <w:t>.  She was very ashamed of her conviction</w:t>
      </w:r>
      <w:r w:rsidR="00492BEE" w:rsidRPr="00436551">
        <w:rPr>
          <w:rFonts w:ascii="Calibri" w:hAnsi="Calibri"/>
          <w:bCs/>
          <w:color w:val="000000"/>
          <w:sz w:val="22"/>
          <w:szCs w:val="22"/>
        </w:rPr>
        <w:t>s</w:t>
      </w:r>
      <w:r w:rsidRPr="00436551">
        <w:rPr>
          <w:rFonts w:ascii="Calibri" w:hAnsi="Calibri"/>
          <w:bCs/>
          <w:color w:val="000000"/>
          <w:sz w:val="22"/>
          <w:szCs w:val="22"/>
        </w:rPr>
        <w:t xml:space="preserve">. She told me about it because she was working for me as a nanny at the time and she wanted me to know in case I wished to find someone else to care for my children.  I </w:t>
      </w:r>
      <w:r w:rsidR="00374BF9" w:rsidRPr="00436551">
        <w:rPr>
          <w:rFonts w:ascii="Calibri" w:hAnsi="Calibri"/>
          <w:bCs/>
          <w:color w:val="000000"/>
          <w:sz w:val="22"/>
          <w:szCs w:val="22"/>
        </w:rPr>
        <w:t xml:space="preserve">did not </w:t>
      </w:r>
      <w:r w:rsidR="00F038AE">
        <w:rPr>
          <w:rFonts w:ascii="Calibri" w:hAnsi="Calibri"/>
          <w:bCs/>
          <w:color w:val="000000"/>
          <w:sz w:val="22"/>
          <w:szCs w:val="22"/>
        </w:rPr>
        <w:t>c</w:t>
      </w:r>
      <w:r w:rsidR="00374BF9" w:rsidRPr="00436551">
        <w:rPr>
          <w:rFonts w:ascii="Calibri" w:hAnsi="Calibri"/>
          <w:bCs/>
          <w:color w:val="000000"/>
          <w:sz w:val="22"/>
          <w:szCs w:val="22"/>
        </w:rPr>
        <w:t>onsider doing otherwise than continuing</w:t>
      </w:r>
      <w:r w:rsidRPr="00436551">
        <w:rPr>
          <w:rFonts w:ascii="Calibri" w:hAnsi="Calibri"/>
          <w:bCs/>
          <w:color w:val="000000"/>
          <w:sz w:val="22"/>
          <w:szCs w:val="22"/>
        </w:rPr>
        <w:t xml:space="preserve"> to employ her despite the conviction </w:t>
      </w:r>
      <w:r w:rsidR="007C11BA" w:rsidRPr="00436551">
        <w:rPr>
          <w:rFonts w:ascii="Calibri" w:hAnsi="Calibri"/>
          <w:bCs/>
          <w:color w:val="000000"/>
          <w:sz w:val="22"/>
          <w:szCs w:val="22"/>
        </w:rPr>
        <w:t xml:space="preserve">for several reasons. First, </w:t>
      </w:r>
      <w:r w:rsidRPr="00436551">
        <w:rPr>
          <w:rFonts w:ascii="Calibri" w:hAnsi="Calibri"/>
          <w:bCs/>
          <w:color w:val="000000"/>
          <w:sz w:val="22"/>
          <w:szCs w:val="22"/>
        </w:rPr>
        <w:t xml:space="preserve">I </w:t>
      </w:r>
      <w:r w:rsidR="007C11BA" w:rsidRPr="00436551">
        <w:rPr>
          <w:rFonts w:ascii="Calibri" w:hAnsi="Calibri"/>
          <w:bCs/>
          <w:color w:val="000000"/>
          <w:sz w:val="22"/>
          <w:szCs w:val="22"/>
        </w:rPr>
        <w:t xml:space="preserve">had no other cause to doubt her. </w:t>
      </w:r>
      <w:r w:rsidR="00374BF9" w:rsidRPr="00436551">
        <w:rPr>
          <w:rFonts w:ascii="Calibri" w:hAnsi="Calibri"/>
          <w:bCs/>
          <w:color w:val="000000"/>
          <w:sz w:val="22"/>
          <w:szCs w:val="22"/>
        </w:rPr>
        <w:t xml:space="preserve"> </w:t>
      </w:r>
      <w:r w:rsidR="007C11BA" w:rsidRPr="00436551">
        <w:rPr>
          <w:rFonts w:ascii="Calibri" w:hAnsi="Calibri"/>
          <w:bCs/>
          <w:color w:val="000000"/>
          <w:sz w:val="22"/>
          <w:szCs w:val="22"/>
        </w:rPr>
        <w:t xml:space="preserve">Secondly </w:t>
      </w:r>
      <w:r w:rsidRPr="00436551">
        <w:rPr>
          <w:rFonts w:ascii="Calibri" w:hAnsi="Calibri"/>
          <w:bCs/>
          <w:color w:val="000000"/>
          <w:sz w:val="22"/>
          <w:szCs w:val="22"/>
        </w:rPr>
        <w:t xml:space="preserve">because of her </w:t>
      </w:r>
      <w:r w:rsidR="007C11BA" w:rsidRPr="00436551">
        <w:rPr>
          <w:rFonts w:ascii="Calibri" w:hAnsi="Calibri"/>
          <w:bCs/>
          <w:color w:val="000000"/>
          <w:sz w:val="22"/>
          <w:szCs w:val="22"/>
        </w:rPr>
        <w:t xml:space="preserve">honesty in telling me about it. Thirdly </w:t>
      </w:r>
      <w:r w:rsidR="00374BF9" w:rsidRPr="00436551">
        <w:rPr>
          <w:rFonts w:ascii="Calibri" w:hAnsi="Calibri"/>
          <w:bCs/>
          <w:color w:val="000000"/>
          <w:sz w:val="22"/>
          <w:szCs w:val="22"/>
        </w:rPr>
        <w:t>because</w:t>
      </w:r>
      <w:r w:rsidR="007C11BA" w:rsidRPr="00436551">
        <w:rPr>
          <w:rFonts w:ascii="Calibri" w:hAnsi="Calibri"/>
          <w:bCs/>
          <w:color w:val="000000"/>
          <w:sz w:val="22"/>
          <w:szCs w:val="22"/>
        </w:rPr>
        <w:t xml:space="preserve"> I am very happy with the work she does for me and the children love her.  Finally </w:t>
      </w:r>
      <w:r w:rsidRPr="00436551">
        <w:rPr>
          <w:rFonts w:ascii="Calibri" w:hAnsi="Calibri"/>
          <w:bCs/>
          <w:color w:val="000000"/>
          <w:sz w:val="22"/>
          <w:szCs w:val="22"/>
        </w:rPr>
        <w:t>I was</w:t>
      </w:r>
      <w:r w:rsidR="007C11BA" w:rsidRPr="00436551">
        <w:rPr>
          <w:rFonts w:ascii="Calibri" w:hAnsi="Calibri"/>
          <w:bCs/>
          <w:color w:val="000000"/>
          <w:sz w:val="22"/>
          <w:szCs w:val="22"/>
        </w:rPr>
        <w:t xml:space="preserve"> and am</w:t>
      </w:r>
      <w:r w:rsidRPr="00436551">
        <w:rPr>
          <w:rFonts w:ascii="Calibri" w:hAnsi="Calibri"/>
          <w:bCs/>
          <w:color w:val="000000"/>
          <w:sz w:val="22"/>
          <w:szCs w:val="22"/>
        </w:rPr>
        <w:t xml:space="preserve"> of the view that her use of marijuana was not </w:t>
      </w:r>
      <w:r w:rsidR="00374BF9" w:rsidRPr="00436551">
        <w:rPr>
          <w:rFonts w:ascii="Calibri" w:hAnsi="Calibri"/>
          <w:bCs/>
          <w:color w:val="000000"/>
          <w:sz w:val="22"/>
          <w:szCs w:val="22"/>
        </w:rPr>
        <w:t xml:space="preserve">a </w:t>
      </w:r>
      <w:r w:rsidRPr="00436551">
        <w:rPr>
          <w:rFonts w:ascii="Calibri" w:hAnsi="Calibri"/>
          <w:bCs/>
          <w:color w:val="000000"/>
          <w:sz w:val="22"/>
          <w:szCs w:val="22"/>
        </w:rPr>
        <w:t>regular</w:t>
      </w:r>
      <w:r w:rsidR="00374BF9" w:rsidRPr="00436551">
        <w:rPr>
          <w:rFonts w:ascii="Calibri" w:hAnsi="Calibri"/>
          <w:bCs/>
          <w:color w:val="000000"/>
          <w:sz w:val="22"/>
          <w:szCs w:val="22"/>
        </w:rPr>
        <w:t xml:space="preserve"> thing</w:t>
      </w:r>
      <w:r w:rsidRPr="00436551">
        <w:rPr>
          <w:rFonts w:ascii="Calibri" w:hAnsi="Calibri"/>
          <w:bCs/>
          <w:color w:val="000000"/>
          <w:sz w:val="22"/>
          <w:szCs w:val="22"/>
        </w:rPr>
        <w:t xml:space="preserve">.  </w:t>
      </w:r>
      <w:r w:rsidR="00374BF9" w:rsidRPr="00436551">
        <w:rPr>
          <w:rFonts w:ascii="Calibri" w:hAnsi="Calibri"/>
          <w:bCs/>
          <w:color w:val="000000"/>
          <w:sz w:val="22"/>
          <w:szCs w:val="22"/>
        </w:rPr>
        <w:t>I have never seen her use it or seem to be under its influence.  She told me and I believe that i</w:t>
      </w:r>
      <w:r w:rsidRPr="00436551">
        <w:rPr>
          <w:rFonts w:ascii="Calibri" w:hAnsi="Calibri"/>
          <w:bCs/>
          <w:color w:val="000000"/>
          <w:sz w:val="22"/>
          <w:szCs w:val="22"/>
        </w:rPr>
        <w:t xml:space="preserve">t </w:t>
      </w:r>
      <w:r w:rsidR="00374BF9" w:rsidRPr="00436551">
        <w:rPr>
          <w:rFonts w:ascii="Calibri" w:hAnsi="Calibri"/>
          <w:bCs/>
          <w:color w:val="000000"/>
          <w:sz w:val="22"/>
          <w:szCs w:val="22"/>
        </w:rPr>
        <w:t>was</w:t>
      </w:r>
      <w:r w:rsidRPr="00436551">
        <w:rPr>
          <w:rFonts w:ascii="Calibri" w:hAnsi="Calibri"/>
          <w:bCs/>
          <w:color w:val="000000"/>
          <w:sz w:val="22"/>
          <w:szCs w:val="22"/>
        </w:rPr>
        <w:t xml:space="preserve"> an occasional social thing she did in the company of others</w:t>
      </w:r>
      <w:r w:rsidR="00374BF9" w:rsidRPr="00436551">
        <w:rPr>
          <w:rFonts w:ascii="Calibri" w:hAnsi="Calibri"/>
          <w:bCs/>
          <w:color w:val="000000"/>
          <w:sz w:val="22"/>
          <w:szCs w:val="22"/>
        </w:rPr>
        <w:t>.  She told me she has not done this since being charged with the offence.</w:t>
      </w:r>
    </w:p>
    <w:p w:rsidR="00140961" w:rsidRPr="00436551" w:rsidRDefault="00492BEE"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 xml:space="preserve"> I am also aware that she initially gave the police a made up name at the time of her arrest.  She admitted to me that this was dishonest and also very stupid and that she has learnt a real lesson that telling lies about such things, or trying to be evasive about one’s actions is never the right thing to do.  I believe that she has learnt this lesson and that she will be honest about her actions in </w:t>
      </w:r>
      <w:r w:rsidRPr="00436551">
        <w:rPr>
          <w:rFonts w:ascii="Calibri" w:hAnsi="Calibri"/>
          <w:bCs/>
          <w:color w:val="000000"/>
          <w:sz w:val="22"/>
          <w:szCs w:val="22"/>
        </w:rPr>
        <w:lastRenderedPageBreak/>
        <w:t>the future.</w:t>
      </w:r>
      <w:r w:rsidR="00786C29" w:rsidRPr="00436551">
        <w:rPr>
          <w:rFonts w:ascii="Calibri" w:hAnsi="Calibri"/>
          <w:bCs/>
          <w:color w:val="000000"/>
          <w:sz w:val="22"/>
          <w:szCs w:val="22"/>
        </w:rPr>
        <w:t xml:space="preserve">  She demonstrated this by coming to me voluntarily to tell me about her offences. </w:t>
      </w:r>
    </w:p>
    <w:p w:rsidR="007C11BA" w:rsidRPr="00436551" w:rsidRDefault="007C11BA" w:rsidP="00436551">
      <w:pPr>
        <w:pStyle w:val="NormalWeb"/>
        <w:numPr>
          <w:ilvl w:val="0"/>
          <w:numId w:val="27"/>
        </w:numPr>
        <w:spacing w:before="0" w:beforeAutospacing="0" w:after="0" w:afterAutospacing="0"/>
        <w:ind w:left="1259" w:hanging="357"/>
        <w:rPr>
          <w:rFonts w:ascii="Calibri" w:hAnsi="Calibri"/>
          <w:bCs/>
          <w:color w:val="000000"/>
          <w:sz w:val="22"/>
          <w:szCs w:val="22"/>
        </w:rPr>
      </w:pPr>
      <w:r w:rsidRPr="00436551">
        <w:rPr>
          <w:rFonts w:ascii="Calibri" w:hAnsi="Calibri"/>
          <w:bCs/>
          <w:color w:val="000000"/>
          <w:sz w:val="22"/>
          <w:szCs w:val="22"/>
        </w:rPr>
        <w:t>I believe that she is of good character.</w:t>
      </w:r>
    </w:p>
    <w:p w:rsidR="00AF54C7" w:rsidRPr="00412A49" w:rsidRDefault="00AF54C7" w:rsidP="006F7F94">
      <w:pPr>
        <w:spacing w:line="360" w:lineRule="auto"/>
        <w:rPr>
          <w:rFonts w:ascii="Calibri" w:hAnsi="Calibri"/>
          <w:b/>
          <w:color w:val="000000"/>
          <w:sz w:val="24"/>
          <w:szCs w:val="24"/>
        </w:rPr>
      </w:pPr>
    </w:p>
    <w:p w:rsidR="00DD06D2" w:rsidRPr="00A7416B" w:rsidRDefault="00EB263A" w:rsidP="006F7F94">
      <w:pPr>
        <w:spacing w:line="360" w:lineRule="auto"/>
        <w:rPr>
          <w:rFonts w:ascii="Calibri" w:hAnsi="Calibri"/>
          <w:b/>
          <w:color w:val="000000"/>
          <w:sz w:val="28"/>
          <w:szCs w:val="28"/>
        </w:rPr>
      </w:pPr>
      <w:r w:rsidRPr="00A7416B">
        <w:rPr>
          <w:rFonts w:ascii="Calibri" w:hAnsi="Calibri"/>
          <w:b/>
          <w:color w:val="000000"/>
          <w:sz w:val="28"/>
          <w:szCs w:val="28"/>
        </w:rPr>
        <w:t>Common errors in the formal requirements for the application</w:t>
      </w:r>
    </w:p>
    <w:p w:rsidR="009653AC" w:rsidRPr="00412A49" w:rsidRDefault="00D15093" w:rsidP="0086060B">
      <w:p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Like any other application to the Court, t</w:t>
      </w:r>
      <w:r w:rsidR="00D04009" w:rsidRPr="00412A49">
        <w:rPr>
          <w:rFonts w:ascii="Calibri" w:hAnsi="Calibri"/>
          <w:color w:val="000000"/>
          <w:sz w:val="22"/>
          <w:szCs w:val="22"/>
        </w:rPr>
        <w:t xml:space="preserve">he application for admission </w:t>
      </w:r>
      <w:r w:rsidR="00201FC6" w:rsidRPr="00412A49">
        <w:rPr>
          <w:rFonts w:ascii="Calibri" w:hAnsi="Calibri"/>
          <w:color w:val="000000"/>
          <w:sz w:val="22"/>
          <w:szCs w:val="22"/>
        </w:rPr>
        <w:t>should</w:t>
      </w:r>
      <w:r w:rsidR="00D04009" w:rsidRPr="00412A49">
        <w:rPr>
          <w:rFonts w:ascii="Calibri" w:hAnsi="Calibri"/>
          <w:color w:val="000000"/>
          <w:sz w:val="22"/>
          <w:szCs w:val="22"/>
        </w:rPr>
        <w:t xml:space="preserve"> comply </w:t>
      </w:r>
      <w:r w:rsidR="00A35B75" w:rsidRPr="00412A49">
        <w:rPr>
          <w:rFonts w:ascii="Calibri" w:hAnsi="Calibri"/>
          <w:color w:val="000000"/>
          <w:sz w:val="22"/>
          <w:szCs w:val="22"/>
        </w:rPr>
        <w:t>with the formal requirements for Court documents.</w:t>
      </w:r>
      <w:r w:rsidR="008A71AF" w:rsidRPr="00412A49">
        <w:rPr>
          <w:rFonts w:ascii="Calibri" w:hAnsi="Calibri"/>
          <w:color w:val="000000"/>
          <w:sz w:val="22"/>
          <w:szCs w:val="22"/>
        </w:rPr>
        <w:t xml:space="preserve">  </w:t>
      </w:r>
      <w:r w:rsidR="00BE084F" w:rsidRPr="00412A49">
        <w:rPr>
          <w:rFonts w:ascii="Calibri" w:hAnsi="Calibri"/>
          <w:color w:val="000000"/>
          <w:sz w:val="22"/>
          <w:szCs w:val="22"/>
        </w:rPr>
        <w:t xml:space="preserve">Making an application for admission is an opportunity </w:t>
      </w:r>
      <w:r w:rsidR="00475361" w:rsidRPr="00412A49">
        <w:rPr>
          <w:rFonts w:ascii="Calibri" w:hAnsi="Calibri"/>
          <w:color w:val="000000"/>
          <w:sz w:val="22"/>
          <w:szCs w:val="22"/>
        </w:rPr>
        <w:t xml:space="preserve">for applicants </w:t>
      </w:r>
      <w:r w:rsidR="00BE084F" w:rsidRPr="00412A49">
        <w:rPr>
          <w:rFonts w:ascii="Calibri" w:hAnsi="Calibri"/>
          <w:color w:val="000000"/>
          <w:sz w:val="22"/>
          <w:szCs w:val="22"/>
        </w:rPr>
        <w:t xml:space="preserve">to familiarize </w:t>
      </w:r>
      <w:r w:rsidR="00475361" w:rsidRPr="00412A49">
        <w:rPr>
          <w:rFonts w:ascii="Calibri" w:hAnsi="Calibri"/>
          <w:color w:val="000000"/>
          <w:sz w:val="22"/>
          <w:szCs w:val="22"/>
        </w:rPr>
        <w:t>themselves</w:t>
      </w:r>
      <w:r w:rsidR="00BE084F" w:rsidRPr="00412A49">
        <w:rPr>
          <w:rFonts w:ascii="Calibri" w:hAnsi="Calibri"/>
          <w:color w:val="000000"/>
          <w:sz w:val="22"/>
          <w:szCs w:val="22"/>
        </w:rPr>
        <w:t xml:space="preserve"> with relevant parts of the </w:t>
      </w:r>
      <w:r w:rsidR="00BE084F" w:rsidRPr="00412A49">
        <w:rPr>
          <w:rFonts w:ascii="Calibri" w:hAnsi="Calibri"/>
          <w:i/>
          <w:color w:val="000000"/>
          <w:sz w:val="22"/>
          <w:szCs w:val="22"/>
        </w:rPr>
        <w:t>Supreme Court Rules 2000</w:t>
      </w:r>
      <w:r w:rsidR="00BE084F" w:rsidRPr="00412A49">
        <w:rPr>
          <w:rFonts w:ascii="Calibri" w:hAnsi="Calibri"/>
          <w:color w:val="000000"/>
          <w:sz w:val="22"/>
          <w:szCs w:val="22"/>
        </w:rPr>
        <w:t>. For example</w:t>
      </w:r>
      <w:r w:rsidR="00B6372C" w:rsidRPr="00412A49">
        <w:rPr>
          <w:rFonts w:ascii="Calibri" w:hAnsi="Calibri"/>
          <w:color w:val="000000"/>
          <w:sz w:val="22"/>
          <w:szCs w:val="22"/>
        </w:rPr>
        <w:t>:</w:t>
      </w:r>
      <w:r w:rsidR="00BE084F" w:rsidRPr="00412A49">
        <w:rPr>
          <w:rFonts w:ascii="Calibri" w:hAnsi="Calibri"/>
          <w:color w:val="000000"/>
          <w:sz w:val="22"/>
          <w:szCs w:val="22"/>
        </w:rPr>
        <w:t xml:space="preserve"> </w:t>
      </w:r>
      <w:r w:rsidR="00B6372C" w:rsidRPr="00412A49">
        <w:rPr>
          <w:rFonts w:ascii="Calibri" w:hAnsi="Calibri"/>
          <w:color w:val="000000"/>
          <w:sz w:val="22"/>
          <w:szCs w:val="22"/>
        </w:rPr>
        <w:t xml:space="preserve">see Part 7 </w:t>
      </w:r>
      <w:r w:rsidR="00833031" w:rsidRPr="00412A49">
        <w:rPr>
          <w:rFonts w:ascii="Calibri" w:hAnsi="Calibri"/>
          <w:color w:val="000000"/>
          <w:sz w:val="22"/>
          <w:szCs w:val="22"/>
        </w:rPr>
        <w:t xml:space="preserve">Divisions 1, 2, 4, </w:t>
      </w:r>
      <w:r w:rsidR="00B6372C" w:rsidRPr="00412A49">
        <w:rPr>
          <w:rFonts w:ascii="Calibri" w:hAnsi="Calibri"/>
          <w:color w:val="000000"/>
          <w:sz w:val="22"/>
          <w:szCs w:val="22"/>
        </w:rPr>
        <w:t>7</w:t>
      </w:r>
      <w:r w:rsidR="00833031" w:rsidRPr="00412A49">
        <w:rPr>
          <w:rFonts w:ascii="Calibri" w:hAnsi="Calibri"/>
          <w:color w:val="000000"/>
          <w:sz w:val="22"/>
          <w:szCs w:val="22"/>
        </w:rPr>
        <w:t xml:space="preserve"> and 9</w:t>
      </w:r>
      <w:r w:rsidR="00B6372C" w:rsidRPr="00412A49">
        <w:rPr>
          <w:rFonts w:ascii="Calibri" w:hAnsi="Calibri"/>
          <w:color w:val="000000"/>
          <w:sz w:val="22"/>
          <w:szCs w:val="22"/>
        </w:rPr>
        <w:t xml:space="preserve"> with regard to the requirements for documen</w:t>
      </w:r>
      <w:r w:rsidR="00833031" w:rsidRPr="00412A49">
        <w:rPr>
          <w:rFonts w:ascii="Calibri" w:hAnsi="Calibri"/>
          <w:color w:val="000000"/>
          <w:sz w:val="22"/>
          <w:szCs w:val="22"/>
        </w:rPr>
        <w:t xml:space="preserve">ts, filing, originating process, </w:t>
      </w:r>
      <w:r w:rsidR="00B6372C" w:rsidRPr="00412A49">
        <w:rPr>
          <w:rFonts w:ascii="Calibri" w:hAnsi="Calibri"/>
          <w:color w:val="000000"/>
          <w:sz w:val="22"/>
          <w:szCs w:val="22"/>
        </w:rPr>
        <w:t>originating applications</w:t>
      </w:r>
      <w:r w:rsidR="00833031" w:rsidRPr="00412A49">
        <w:rPr>
          <w:rFonts w:ascii="Calibri" w:hAnsi="Calibri"/>
          <w:color w:val="000000"/>
          <w:sz w:val="22"/>
          <w:szCs w:val="22"/>
        </w:rPr>
        <w:t xml:space="preserve"> and service</w:t>
      </w:r>
      <w:r w:rsidR="00B6372C" w:rsidRPr="00412A49">
        <w:rPr>
          <w:rFonts w:ascii="Calibri" w:hAnsi="Calibri"/>
          <w:color w:val="000000"/>
          <w:sz w:val="22"/>
          <w:szCs w:val="22"/>
        </w:rPr>
        <w:t xml:space="preserve">; and see </w:t>
      </w:r>
      <w:r w:rsidR="00833031" w:rsidRPr="00412A49">
        <w:rPr>
          <w:rFonts w:ascii="Calibri" w:hAnsi="Calibri"/>
          <w:color w:val="000000"/>
          <w:sz w:val="22"/>
          <w:szCs w:val="22"/>
        </w:rPr>
        <w:t>Part 19, Division 4 for the requirements relating to affidavits.</w:t>
      </w:r>
      <w:r w:rsidR="00810A08" w:rsidRPr="00412A49">
        <w:rPr>
          <w:rFonts w:ascii="Calibri" w:hAnsi="Calibri"/>
          <w:color w:val="000000"/>
          <w:sz w:val="22"/>
          <w:szCs w:val="22"/>
        </w:rPr>
        <w:t xml:space="preserve">  </w:t>
      </w:r>
    </w:p>
    <w:p w:rsidR="00E73699" w:rsidRDefault="00E73699" w:rsidP="0086060B">
      <w:pPr>
        <w:overflowPunct/>
        <w:autoSpaceDE/>
        <w:autoSpaceDN/>
        <w:adjustRightInd/>
        <w:spacing w:line="360" w:lineRule="auto"/>
        <w:textAlignment w:val="auto"/>
        <w:rPr>
          <w:rFonts w:ascii="Calibri" w:hAnsi="Calibri"/>
          <w:color w:val="000000"/>
          <w:sz w:val="22"/>
          <w:szCs w:val="22"/>
        </w:rPr>
      </w:pPr>
    </w:p>
    <w:p w:rsidR="00D41B11" w:rsidRPr="00412A49" w:rsidRDefault="00E73699" w:rsidP="0086060B">
      <w:p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C</w:t>
      </w:r>
      <w:r w:rsidR="00810A08" w:rsidRPr="00412A49">
        <w:rPr>
          <w:rFonts w:ascii="Calibri" w:hAnsi="Calibri"/>
          <w:color w:val="000000"/>
          <w:sz w:val="22"/>
          <w:szCs w:val="22"/>
        </w:rPr>
        <w:t>ommon errors made by applicants</w:t>
      </w:r>
      <w:r>
        <w:rPr>
          <w:rFonts w:ascii="Calibri" w:hAnsi="Calibri"/>
          <w:color w:val="000000"/>
          <w:sz w:val="22"/>
          <w:szCs w:val="22"/>
        </w:rPr>
        <w:t xml:space="preserve"> are</w:t>
      </w:r>
      <w:r w:rsidR="00810A08" w:rsidRPr="00412A49">
        <w:rPr>
          <w:rFonts w:ascii="Calibri" w:hAnsi="Calibri"/>
          <w:color w:val="000000"/>
          <w:sz w:val="22"/>
          <w:szCs w:val="22"/>
        </w:rPr>
        <w:t>:</w:t>
      </w:r>
    </w:p>
    <w:p w:rsidR="006B1CCC" w:rsidRPr="00412A49" w:rsidRDefault="00E73699" w:rsidP="00810A08">
      <w:pPr>
        <w:numPr>
          <w:ilvl w:val="0"/>
          <w:numId w:val="29"/>
        </w:num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 xml:space="preserve">Not </w:t>
      </w:r>
      <w:r w:rsidR="0086060B">
        <w:rPr>
          <w:rFonts w:ascii="Calibri" w:hAnsi="Calibri"/>
          <w:color w:val="000000"/>
          <w:sz w:val="22"/>
          <w:szCs w:val="22"/>
        </w:rPr>
        <w:t xml:space="preserve">fully </w:t>
      </w:r>
      <w:r w:rsidR="0086060B" w:rsidRPr="00412A49">
        <w:rPr>
          <w:rFonts w:ascii="Calibri" w:hAnsi="Calibri"/>
          <w:color w:val="000000"/>
          <w:sz w:val="22"/>
          <w:szCs w:val="22"/>
        </w:rPr>
        <w:t>explaining</w:t>
      </w:r>
      <w:r w:rsidR="006B1CCC" w:rsidRPr="00412A49">
        <w:rPr>
          <w:rFonts w:ascii="Calibri" w:hAnsi="Calibri"/>
          <w:color w:val="000000"/>
          <w:sz w:val="22"/>
          <w:szCs w:val="22"/>
        </w:rPr>
        <w:t xml:space="preserve"> any adverse matters disclose</w:t>
      </w:r>
      <w:r>
        <w:rPr>
          <w:rFonts w:ascii="Calibri" w:hAnsi="Calibri"/>
          <w:color w:val="000000"/>
          <w:sz w:val="22"/>
          <w:szCs w:val="22"/>
        </w:rPr>
        <w:t>d</w:t>
      </w:r>
      <w:r w:rsidR="006B1CCC" w:rsidRPr="00412A49">
        <w:rPr>
          <w:rFonts w:ascii="Calibri" w:hAnsi="Calibri"/>
          <w:color w:val="000000"/>
          <w:sz w:val="22"/>
          <w:szCs w:val="22"/>
        </w:rPr>
        <w:t xml:space="preserve"> in </w:t>
      </w:r>
      <w:r>
        <w:rPr>
          <w:rFonts w:ascii="Calibri" w:hAnsi="Calibri"/>
          <w:color w:val="000000"/>
          <w:sz w:val="22"/>
          <w:szCs w:val="22"/>
        </w:rPr>
        <w:t>the</w:t>
      </w:r>
      <w:r w:rsidR="006B1CCC" w:rsidRPr="00412A49">
        <w:rPr>
          <w:rFonts w:ascii="Calibri" w:hAnsi="Calibri"/>
          <w:color w:val="000000"/>
          <w:sz w:val="22"/>
          <w:szCs w:val="22"/>
        </w:rPr>
        <w:t xml:space="preserve"> affidavit in support of </w:t>
      </w:r>
      <w:r>
        <w:rPr>
          <w:rFonts w:ascii="Calibri" w:hAnsi="Calibri"/>
          <w:color w:val="000000"/>
          <w:sz w:val="22"/>
          <w:szCs w:val="22"/>
        </w:rPr>
        <w:t>the</w:t>
      </w:r>
      <w:r w:rsidR="006B1CCC" w:rsidRPr="00412A49">
        <w:rPr>
          <w:rFonts w:ascii="Calibri" w:hAnsi="Calibri"/>
          <w:color w:val="000000"/>
          <w:sz w:val="22"/>
          <w:szCs w:val="22"/>
        </w:rPr>
        <w:t xml:space="preserve"> application for admission and </w:t>
      </w:r>
      <w:r>
        <w:rPr>
          <w:rFonts w:ascii="Calibri" w:hAnsi="Calibri"/>
          <w:color w:val="000000"/>
          <w:sz w:val="22"/>
          <w:szCs w:val="22"/>
        </w:rPr>
        <w:t>not addressing</w:t>
      </w:r>
      <w:r w:rsidR="006B1CCC" w:rsidRPr="00412A49">
        <w:rPr>
          <w:rFonts w:ascii="Calibri" w:hAnsi="Calibri"/>
          <w:color w:val="000000"/>
          <w:sz w:val="22"/>
          <w:szCs w:val="22"/>
        </w:rPr>
        <w:t xml:space="preserve"> such issues in the affidavits as to character.  </w:t>
      </w:r>
      <w:r>
        <w:rPr>
          <w:rFonts w:ascii="Calibri" w:hAnsi="Calibri"/>
          <w:color w:val="000000"/>
          <w:sz w:val="22"/>
          <w:szCs w:val="22"/>
        </w:rPr>
        <w:t xml:space="preserve">The affidavit </w:t>
      </w:r>
      <w:r w:rsidR="0086060B">
        <w:rPr>
          <w:rFonts w:ascii="Calibri" w:hAnsi="Calibri"/>
          <w:color w:val="000000"/>
          <w:sz w:val="22"/>
          <w:szCs w:val="22"/>
        </w:rPr>
        <w:t xml:space="preserve">must </w:t>
      </w:r>
      <w:r w:rsidR="0086060B" w:rsidRPr="00412A49">
        <w:rPr>
          <w:rFonts w:ascii="Calibri" w:hAnsi="Calibri"/>
          <w:color w:val="000000"/>
          <w:sz w:val="22"/>
          <w:szCs w:val="22"/>
        </w:rPr>
        <w:t>provide</w:t>
      </w:r>
      <w:r w:rsidR="006B1CCC" w:rsidRPr="00412A49">
        <w:rPr>
          <w:rFonts w:ascii="Calibri" w:hAnsi="Calibri"/>
          <w:color w:val="000000"/>
          <w:sz w:val="22"/>
          <w:szCs w:val="22"/>
        </w:rPr>
        <w:t xml:space="preserve"> the Court with evidence that </w:t>
      </w:r>
      <w:r>
        <w:rPr>
          <w:rFonts w:ascii="Calibri" w:hAnsi="Calibri"/>
          <w:color w:val="000000"/>
          <w:sz w:val="22"/>
          <w:szCs w:val="22"/>
        </w:rPr>
        <w:t>the applicant is</w:t>
      </w:r>
      <w:r w:rsidR="006B1CCC" w:rsidRPr="00412A49">
        <w:rPr>
          <w:rFonts w:ascii="Calibri" w:hAnsi="Calibri"/>
          <w:color w:val="000000"/>
          <w:sz w:val="22"/>
          <w:szCs w:val="22"/>
        </w:rPr>
        <w:t xml:space="preserve"> a “fit and proper” person.  </w:t>
      </w:r>
      <w:r>
        <w:rPr>
          <w:rFonts w:ascii="Calibri" w:hAnsi="Calibri"/>
          <w:color w:val="000000"/>
          <w:sz w:val="22"/>
          <w:szCs w:val="22"/>
        </w:rPr>
        <w:t xml:space="preserve">The application must </w:t>
      </w:r>
      <w:r w:rsidR="0086060B">
        <w:rPr>
          <w:rFonts w:ascii="Calibri" w:hAnsi="Calibri"/>
          <w:color w:val="000000"/>
          <w:sz w:val="22"/>
          <w:szCs w:val="22"/>
        </w:rPr>
        <w:t>give</w:t>
      </w:r>
      <w:r w:rsidR="0086060B" w:rsidRPr="00412A49">
        <w:rPr>
          <w:rFonts w:ascii="Calibri" w:hAnsi="Calibri"/>
          <w:color w:val="000000"/>
          <w:sz w:val="22"/>
          <w:szCs w:val="22"/>
        </w:rPr>
        <w:t xml:space="preserve"> the</w:t>
      </w:r>
      <w:r w:rsidR="006B1CCC" w:rsidRPr="00412A49">
        <w:rPr>
          <w:rFonts w:ascii="Calibri" w:hAnsi="Calibri"/>
          <w:color w:val="000000"/>
          <w:sz w:val="22"/>
          <w:szCs w:val="22"/>
        </w:rPr>
        <w:t xml:space="preserve"> </w:t>
      </w:r>
      <w:r w:rsidR="0086060B" w:rsidRPr="00412A49">
        <w:rPr>
          <w:rFonts w:ascii="Calibri" w:hAnsi="Calibri"/>
          <w:color w:val="000000"/>
          <w:sz w:val="22"/>
          <w:szCs w:val="22"/>
        </w:rPr>
        <w:t>Court enough</w:t>
      </w:r>
      <w:r w:rsidR="006B1CCC" w:rsidRPr="00412A49">
        <w:rPr>
          <w:rFonts w:ascii="Calibri" w:hAnsi="Calibri"/>
          <w:color w:val="000000"/>
          <w:sz w:val="22"/>
          <w:szCs w:val="22"/>
        </w:rPr>
        <w:t xml:space="preserve"> evidence upon which to make its determination.</w:t>
      </w:r>
    </w:p>
    <w:p w:rsidR="00EA50DC" w:rsidRPr="00412A49" w:rsidRDefault="00EA50DC" w:rsidP="00810A08">
      <w:pPr>
        <w:numPr>
          <w:ilvl w:val="0"/>
          <w:numId w:val="2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The Legal Practitioner’s Oath </w:t>
      </w:r>
      <w:r w:rsidR="00E73699">
        <w:rPr>
          <w:rFonts w:ascii="Calibri" w:hAnsi="Calibri"/>
          <w:color w:val="000000"/>
          <w:sz w:val="22"/>
          <w:szCs w:val="22"/>
        </w:rPr>
        <w:t xml:space="preserve">the </w:t>
      </w:r>
      <w:r w:rsidR="0086060B">
        <w:rPr>
          <w:rFonts w:ascii="Calibri" w:hAnsi="Calibri"/>
          <w:color w:val="000000"/>
          <w:sz w:val="22"/>
          <w:szCs w:val="22"/>
        </w:rPr>
        <w:t xml:space="preserve">applicant </w:t>
      </w:r>
      <w:r w:rsidR="0086060B" w:rsidRPr="00412A49">
        <w:rPr>
          <w:rFonts w:ascii="Calibri" w:hAnsi="Calibri"/>
          <w:color w:val="000000"/>
          <w:sz w:val="22"/>
          <w:szCs w:val="22"/>
        </w:rPr>
        <w:t>takes</w:t>
      </w:r>
      <w:r w:rsidR="00CE187A" w:rsidRPr="00412A49">
        <w:rPr>
          <w:rFonts w:ascii="Calibri" w:hAnsi="Calibri"/>
          <w:color w:val="000000"/>
          <w:sz w:val="22"/>
          <w:szCs w:val="22"/>
        </w:rPr>
        <w:t xml:space="preserve"> at the hearing of the application </w:t>
      </w:r>
      <w:r w:rsidRPr="00412A49">
        <w:rPr>
          <w:rFonts w:ascii="Calibri" w:hAnsi="Calibri"/>
          <w:color w:val="000000"/>
          <w:sz w:val="22"/>
          <w:szCs w:val="22"/>
        </w:rPr>
        <w:t>must the lodged with the Court</w:t>
      </w:r>
      <w:r w:rsidR="00174922">
        <w:rPr>
          <w:rFonts w:ascii="Calibri" w:hAnsi="Calibri"/>
          <w:color w:val="000000"/>
          <w:sz w:val="22"/>
          <w:szCs w:val="22"/>
        </w:rPr>
        <w:t xml:space="preserve"> </w:t>
      </w:r>
      <w:r w:rsidR="0086060B">
        <w:rPr>
          <w:rFonts w:ascii="Calibri" w:hAnsi="Calibri"/>
          <w:color w:val="000000"/>
          <w:sz w:val="22"/>
          <w:szCs w:val="22"/>
        </w:rPr>
        <w:t>with other</w:t>
      </w:r>
      <w:r w:rsidR="00174922">
        <w:rPr>
          <w:rFonts w:ascii="Calibri" w:hAnsi="Calibri"/>
          <w:color w:val="000000"/>
          <w:sz w:val="22"/>
          <w:szCs w:val="22"/>
        </w:rPr>
        <w:t xml:space="preserve"> supporting materials</w:t>
      </w:r>
      <w:r w:rsidRPr="00412A49">
        <w:rPr>
          <w:rFonts w:ascii="Calibri" w:hAnsi="Calibri"/>
          <w:color w:val="000000"/>
          <w:sz w:val="22"/>
          <w:szCs w:val="22"/>
        </w:rPr>
        <w:t xml:space="preserve"> </w:t>
      </w:r>
      <w:r w:rsidRPr="00412A49">
        <w:rPr>
          <w:rFonts w:ascii="Calibri" w:hAnsi="Calibri"/>
          <w:b/>
          <w:color w:val="000000"/>
          <w:sz w:val="22"/>
          <w:szCs w:val="22"/>
        </w:rPr>
        <w:t>unsigned</w:t>
      </w:r>
      <w:r w:rsidRPr="00412A49">
        <w:rPr>
          <w:rFonts w:ascii="Calibri" w:hAnsi="Calibri"/>
          <w:color w:val="000000"/>
          <w:sz w:val="22"/>
          <w:szCs w:val="22"/>
        </w:rPr>
        <w:t xml:space="preserve"> and </w:t>
      </w:r>
      <w:r w:rsidRPr="00412A49">
        <w:rPr>
          <w:rFonts w:ascii="Calibri" w:hAnsi="Calibri"/>
          <w:b/>
          <w:color w:val="000000"/>
          <w:sz w:val="22"/>
          <w:szCs w:val="22"/>
        </w:rPr>
        <w:t xml:space="preserve">without </w:t>
      </w:r>
      <w:r w:rsidRPr="00412A49">
        <w:rPr>
          <w:rFonts w:ascii="Calibri" w:hAnsi="Calibri"/>
          <w:color w:val="000000"/>
          <w:sz w:val="22"/>
          <w:szCs w:val="22"/>
        </w:rPr>
        <w:t>a jurat.</w:t>
      </w:r>
    </w:p>
    <w:p w:rsidR="00EA50DC" w:rsidRPr="00412A49" w:rsidRDefault="00E73699" w:rsidP="00810A08">
      <w:pPr>
        <w:numPr>
          <w:ilvl w:val="0"/>
          <w:numId w:val="29"/>
        </w:numPr>
        <w:overflowPunct/>
        <w:autoSpaceDE/>
        <w:autoSpaceDN/>
        <w:adjustRightInd/>
        <w:spacing w:line="360" w:lineRule="auto"/>
        <w:textAlignment w:val="auto"/>
        <w:rPr>
          <w:rFonts w:ascii="Calibri" w:hAnsi="Calibri"/>
          <w:color w:val="000000"/>
          <w:sz w:val="22"/>
          <w:szCs w:val="22"/>
        </w:rPr>
      </w:pPr>
      <w:r>
        <w:rPr>
          <w:rFonts w:ascii="Calibri" w:hAnsi="Calibri"/>
          <w:color w:val="000000"/>
          <w:sz w:val="22"/>
          <w:szCs w:val="22"/>
        </w:rPr>
        <w:t>The applicant must</w:t>
      </w:r>
      <w:r w:rsidR="00EA50DC" w:rsidRPr="00412A49">
        <w:rPr>
          <w:rFonts w:ascii="Calibri" w:hAnsi="Calibri"/>
          <w:color w:val="000000"/>
          <w:sz w:val="22"/>
          <w:szCs w:val="22"/>
        </w:rPr>
        <w:t xml:space="preserve"> be consistent about whether </w:t>
      </w:r>
      <w:r>
        <w:rPr>
          <w:rFonts w:ascii="Calibri" w:hAnsi="Calibri"/>
          <w:color w:val="000000"/>
          <w:sz w:val="22"/>
          <w:szCs w:val="22"/>
        </w:rPr>
        <w:t>she or he</w:t>
      </w:r>
      <w:r w:rsidR="00EA50DC" w:rsidRPr="00412A49">
        <w:rPr>
          <w:rFonts w:ascii="Calibri" w:hAnsi="Calibri"/>
          <w:color w:val="000000"/>
          <w:sz w:val="22"/>
          <w:szCs w:val="22"/>
        </w:rPr>
        <w:t xml:space="preserve"> swear</w:t>
      </w:r>
      <w:r w:rsidR="0038327D">
        <w:rPr>
          <w:rFonts w:ascii="Calibri" w:hAnsi="Calibri"/>
          <w:color w:val="000000"/>
          <w:sz w:val="22"/>
          <w:szCs w:val="22"/>
        </w:rPr>
        <w:t>s</w:t>
      </w:r>
      <w:r w:rsidR="00EA50DC" w:rsidRPr="00412A49">
        <w:rPr>
          <w:rFonts w:ascii="Calibri" w:hAnsi="Calibri"/>
          <w:color w:val="000000"/>
          <w:sz w:val="22"/>
          <w:szCs w:val="22"/>
        </w:rPr>
        <w:t xml:space="preserve"> or affirm</w:t>
      </w:r>
      <w:r w:rsidR="0038327D">
        <w:rPr>
          <w:rFonts w:ascii="Calibri" w:hAnsi="Calibri"/>
          <w:color w:val="000000"/>
          <w:sz w:val="22"/>
          <w:szCs w:val="22"/>
        </w:rPr>
        <w:t>s</w:t>
      </w:r>
      <w:r>
        <w:rPr>
          <w:rFonts w:ascii="Calibri" w:hAnsi="Calibri"/>
          <w:color w:val="000000"/>
          <w:sz w:val="22"/>
          <w:szCs w:val="22"/>
        </w:rPr>
        <w:t xml:space="preserve"> across the documents</w:t>
      </w:r>
      <w:r w:rsidR="00EA50DC" w:rsidRPr="00412A49">
        <w:rPr>
          <w:rFonts w:ascii="Calibri" w:hAnsi="Calibri"/>
          <w:color w:val="000000"/>
          <w:sz w:val="22"/>
          <w:szCs w:val="22"/>
        </w:rPr>
        <w:t xml:space="preserve">.  For example if </w:t>
      </w:r>
      <w:r>
        <w:rPr>
          <w:rFonts w:ascii="Calibri" w:hAnsi="Calibri"/>
          <w:color w:val="000000"/>
          <w:sz w:val="22"/>
          <w:szCs w:val="22"/>
        </w:rPr>
        <w:t>the</w:t>
      </w:r>
      <w:r w:rsidR="00EA50DC" w:rsidRPr="00412A49">
        <w:rPr>
          <w:rFonts w:ascii="Calibri" w:hAnsi="Calibri"/>
          <w:color w:val="000000"/>
          <w:sz w:val="22"/>
          <w:szCs w:val="22"/>
        </w:rPr>
        <w:t xml:space="preserve"> affidavit in support of </w:t>
      </w:r>
      <w:r>
        <w:rPr>
          <w:rFonts w:ascii="Calibri" w:hAnsi="Calibri"/>
          <w:color w:val="000000"/>
          <w:sz w:val="22"/>
          <w:szCs w:val="22"/>
        </w:rPr>
        <w:t>the</w:t>
      </w:r>
      <w:r w:rsidR="00EA50DC" w:rsidRPr="00412A49">
        <w:rPr>
          <w:rFonts w:ascii="Calibri" w:hAnsi="Calibri"/>
          <w:color w:val="000000"/>
          <w:sz w:val="22"/>
          <w:szCs w:val="22"/>
        </w:rPr>
        <w:t xml:space="preserve"> application for admission is “sworn” before </w:t>
      </w:r>
      <w:r w:rsidR="008B2E4E">
        <w:rPr>
          <w:rFonts w:ascii="Calibri" w:hAnsi="Calibri"/>
          <w:color w:val="000000"/>
          <w:sz w:val="22"/>
          <w:szCs w:val="22"/>
        </w:rPr>
        <w:t xml:space="preserve">an appropriate person, </w:t>
      </w:r>
      <w:r w:rsidR="00EA50DC" w:rsidRPr="00412A49">
        <w:rPr>
          <w:rFonts w:ascii="Calibri" w:hAnsi="Calibri"/>
          <w:color w:val="000000"/>
          <w:sz w:val="22"/>
          <w:szCs w:val="22"/>
        </w:rPr>
        <w:t xml:space="preserve">then </w:t>
      </w:r>
      <w:r>
        <w:rPr>
          <w:rFonts w:ascii="Calibri" w:hAnsi="Calibri"/>
          <w:color w:val="000000"/>
          <w:sz w:val="22"/>
          <w:szCs w:val="22"/>
        </w:rPr>
        <w:t xml:space="preserve">on the day of admission the applicant </w:t>
      </w:r>
      <w:r w:rsidR="00EA50DC" w:rsidRPr="00412A49">
        <w:rPr>
          <w:rFonts w:ascii="Calibri" w:hAnsi="Calibri"/>
          <w:color w:val="000000"/>
          <w:sz w:val="22"/>
          <w:szCs w:val="22"/>
        </w:rPr>
        <w:t>should also “swear that you will honestly conduct yourself…</w:t>
      </w:r>
      <w:proofErr w:type="spellStart"/>
      <w:r w:rsidR="0038327D">
        <w:rPr>
          <w:rFonts w:ascii="Calibri" w:hAnsi="Calibri"/>
          <w:color w:val="000000"/>
          <w:sz w:val="22"/>
          <w:szCs w:val="22"/>
        </w:rPr>
        <w:t>etc</w:t>
      </w:r>
      <w:proofErr w:type="spellEnd"/>
      <w:r w:rsidR="00EA50DC" w:rsidRPr="00412A49">
        <w:rPr>
          <w:rFonts w:ascii="Calibri" w:hAnsi="Calibri"/>
          <w:color w:val="000000"/>
          <w:sz w:val="22"/>
          <w:szCs w:val="22"/>
        </w:rPr>
        <w:t xml:space="preserve">” in </w:t>
      </w:r>
      <w:r>
        <w:rPr>
          <w:rFonts w:ascii="Calibri" w:hAnsi="Calibri"/>
          <w:color w:val="000000"/>
          <w:sz w:val="22"/>
          <w:szCs w:val="22"/>
        </w:rPr>
        <w:t>the</w:t>
      </w:r>
      <w:r w:rsidR="00EA50DC" w:rsidRPr="00412A49">
        <w:rPr>
          <w:rFonts w:ascii="Calibri" w:hAnsi="Calibri"/>
          <w:color w:val="000000"/>
          <w:sz w:val="22"/>
          <w:szCs w:val="22"/>
        </w:rPr>
        <w:t xml:space="preserve"> </w:t>
      </w:r>
      <w:r w:rsidR="00201FC6" w:rsidRPr="00412A49">
        <w:rPr>
          <w:rFonts w:ascii="Calibri" w:hAnsi="Calibri"/>
          <w:color w:val="000000"/>
          <w:sz w:val="22"/>
          <w:szCs w:val="22"/>
        </w:rPr>
        <w:t>oath</w:t>
      </w:r>
      <w:r w:rsidR="00EA50DC" w:rsidRPr="00412A49">
        <w:rPr>
          <w:rFonts w:ascii="Calibri" w:hAnsi="Calibri"/>
          <w:color w:val="000000"/>
          <w:sz w:val="22"/>
          <w:szCs w:val="22"/>
        </w:rPr>
        <w:t xml:space="preserve"> and the written ve</w:t>
      </w:r>
      <w:r w:rsidR="00EE6095" w:rsidRPr="00412A49">
        <w:rPr>
          <w:rFonts w:ascii="Calibri" w:hAnsi="Calibri"/>
          <w:color w:val="000000"/>
          <w:sz w:val="22"/>
          <w:szCs w:val="22"/>
        </w:rPr>
        <w:t xml:space="preserve">rsion of </w:t>
      </w:r>
      <w:r>
        <w:rPr>
          <w:rFonts w:ascii="Calibri" w:hAnsi="Calibri"/>
          <w:color w:val="000000"/>
          <w:sz w:val="22"/>
          <w:szCs w:val="22"/>
        </w:rPr>
        <w:t>the</w:t>
      </w:r>
      <w:r w:rsidR="00EE6095" w:rsidRPr="00412A49">
        <w:rPr>
          <w:rFonts w:ascii="Calibri" w:hAnsi="Calibri"/>
          <w:color w:val="000000"/>
          <w:sz w:val="22"/>
          <w:szCs w:val="22"/>
        </w:rPr>
        <w:t xml:space="preserve"> </w:t>
      </w:r>
      <w:r w:rsidR="00201FC6" w:rsidRPr="00412A49">
        <w:rPr>
          <w:rFonts w:ascii="Calibri" w:hAnsi="Calibri"/>
          <w:color w:val="000000"/>
          <w:sz w:val="22"/>
          <w:szCs w:val="22"/>
        </w:rPr>
        <w:t>o</w:t>
      </w:r>
      <w:r w:rsidR="00EE6095" w:rsidRPr="00412A49">
        <w:rPr>
          <w:rFonts w:ascii="Calibri" w:hAnsi="Calibri"/>
          <w:color w:val="000000"/>
          <w:sz w:val="22"/>
          <w:szCs w:val="22"/>
        </w:rPr>
        <w:t>ath lodged with the Court</w:t>
      </w:r>
      <w:r w:rsidR="00CE187A" w:rsidRPr="00412A49">
        <w:rPr>
          <w:rFonts w:ascii="Calibri" w:hAnsi="Calibri"/>
          <w:color w:val="000000"/>
          <w:sz w:val="22"/>
          <w:szCs w:val="22"/>
        </w:rPr>
        <w:t xml:space="preserve"> should be worded accordingly</w:t>
      </w:r>
      <w:r w:rsidR="00EE6095" w:rsidRPr="00412A49">
        <w:rPr>
          <w:rFonts w:ascii="Calibri" w:hAnsi="Calibri"/>
          <w:color w:val="000000"/>
          <w:sz w:val="22"/>
          <w:szCs w:val="22"/>
        </w:rPr>
        <w:t>.</w:t>
      </w:r>
      <w:r w:rsidR="00CE187A" w:rsidRPr="00412A49">
        <w:rPr>
          <w:rFonts w:ascii="Calibri" w:hAnsi="Calibri"/>
          <w:color w:val="000000"/>
          <w:sz w:val="22"/>
          <w:szCs w:val="22"/>
        </w:rPr>
        <w:t xml:space="preserve">  </w:t>
      </w:r>
    </w:p>
    <w:p w:rsidR="00EA50DC" w:rsidRPr="00412A49" w:rsidRDefault="009624AB" w:rsidP="009624AB">
      <w:pPr>
        <w:numPr>
          <w:ilvl w:val="0"/>
          <w:numId w:val="2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Rules 511, 512 and 513 of the </w:t>
      </w:r>
      <w:r w:rsidRPr="00412A49">
        <w:rPr>
          <w:rFonts w:ascii="Calibri" w:hAnsi="Calibri"/>
          <w:i/>
          <w:color w:val="000000"/>
          <w:sz w:val="22"/>
          <w:szCs w:val="22"/>
        </w:rPr>
        <w:t xml:space="preserve">Supreme Court Rules 2000 </w:t>
      </w:r>
      <w:r w:rsidRPr="00412A49">
        <w:rPr>
          <w:rFonts w:ascii="Calibri" w:hAnsi="Calibri"/>
          <w:color w:val="000000"/>
          <w:sz w:val="22"/>
          <w:szCs w:val="22"/>
        </w:rPr>
        <w:t xml:space="preserve">specify persons before whom an affidavit may be sworn.  </w:t>
      </w:r>
      <w:r w:rsidR="00E73699">
        <w:rPr>
          <w:rFonts w:ascii="Calibri" w:hAnsi="Calibri"/>
          <w:color w:val="000000"/>
          <w:sz w:val="22"/>
          <w:szCs w:val="22"/>
        </w:rPr>
        <w:t>A</w:t>
      </w:r>
      <w:r w:rsidR="00EA50DC" w:rsidRPr="00412A49">
        <w:rPr>
          <w:rFonts w:ascii="Calibri" w:hAnsi="Calibri"/>
          <w:color w:val="000000"/>
          <w:sz w:val="22"/>
          <w:szCs w:val="22"/>
        </w:rPr>
        <w:t xml:space="preserve">ffidavits </w:t>
      </w:r>
      <w:r w:rsidR="00E73699">
        <w:rPr>
          <w:rFonts w:ascii="Calibri" w:hAnsi="Calibri"/>
          <w:color w:val="000000"/>
          <w:sz w:val="22"/>
          <w:szCs w:val="22"/>
        </w:rPr>
        <w:t xml:space="preserve">should be sworn or affirmed </w:t>
      </w:r>
      <w:r w:rsidR="00EA50DC" w:rsidRPr="00412A49">
        <w:rPr>
          <w:rFonts w:ascii="Calibri" w:hAnsi="Calibri"/>
          <w:color w:val="000000"/>
          <w:sz w:val="22"/>
          <w:szCs w:val="22"/>
        </w:rPr>
        <w:t xml:space="preserve">before a </w:t>
      </w:r>
      <w:r w:rsidR="00CE187A" w:rsidRPr="00412A49">
        <w:rPr>
          <w:rFonts w:ascii="Calibri" w:hAnsi="Calibri"/>
          <w:color w:val="000000"/>
          <w:sz w:val="22"/>
          <w:szCs w:val="22"/>
        </w:rPr>
        <w:t>person</w:t>
      </w:r>
      <w:r w:rsidR="00EA50DC" w:rsidRPr="00412A49">
        <w:rPr>
          <w:rFonts w:ascii="Calibri" w:hAnsi="Calibri"/>
          <w:color w:val="000000"/>
          <w:sz w:val="22"/>
          <w:szCs w:val="22"/>
        </w:rPr>
        <w:t xml:space="preserve"> who is familiar with the appearance and formal requirements for affidavits and the annexures to them since they are unlikely to make an error or omission on</w:t>
      </w:r>
      <w:r w:rsidR="00E73699">
        <w:rPr>
          <w:rFonts w:ascii="Calibri" w:hAnsi="Calibri"/>
          <w:color w:val="000000"/>
          <w:sz w:val="22"/>
          <w:szCs w:val="22"/>
        </w:rPr>
        <w:t xml:space="preserve"> the</w:t>
      </w:r>
      <w:r w:rsidR="00EA50DC" w:rsidRPr="00412A49">
        <w:rPr>
          <w:rFonts w:ascii="Calibri" w:hAnsi="Calibri"/>
          <w:color w:val="000000"/>
          <w:sz w:val="22"/>
          <w:szCs w:val="22"/>
        </w:rPr>
        <w:t xml:space="preserve"> documents and may pick up an error or omission </w:t>
      </w:r>
      <w:r w:rsidR="00E73699">
        <w:rPr>
          <w:rFonts w:ascii="Calibri" w:hAnsi="Calibri"/>
          <w:color w:val="000000"/>
          <w:sz w:val="22"/>
          <w:szCs w:val="22"/>
        </w:rPr>
        <w:t>the applicant has made</w:t>
      </w:r>
      <w:r w:rsidR="00EA50DC" w:rsidRPr="00412A49">
        <w:rPr>
          <w:rFonts w:ascii="Calibri" w:hAnsi="Calibri"/>
          <w:color w:val="000000"/>
          <w:sz w:val="22"/>
          <w:szCs w:val="22"/>
        </w:rPr>
        <w:t xml:space="preserve">.  </w:t>
      </w:r>
    </w:p>
    <w:p w:rsidR="0039166E" w:rsidRPr="00412A49" w:rsidRDefault="00810A08" w:rsidP="00810A08">
      <w:pPr>
        <w:numPr>
          <w:ilvl w:val="0"/>
          <w:numId w:val="2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Original documents ought to be annexed to the affidavit in support of the application for admission which will be filed with the Court.</w:t>
      </w:r>
      <w:r w:rsidR="00475361" w:rsidRPr="00412A49">
        <w:rPr>
          <w:rFonts w:ascii="Calibri" w:hAnsi="Calibri"/>
          <w:color w:val="000000"/>
          <w:sz w:val="22"/>
          <w:szCs w:val="22"/>
        </w:rPr>
        <w:t xml:space="preserve">  </w:t>
      </w:r>
      <w:r w:rsidR="0039166E" w:rsidRPr="00412A49">
        <w:rPr>
          <w:rFonts w:ascii="Calibri" w:hAnsi="Calibri"/>
          <w:color w:val="000000"/>
          <w:sz w:val="22"/>
          <w:szCs w:val="22"/>
        </w:rPr>
        <w:t xml:space="preserve">In the case of the notice </w:t>
      </w:r>
      <w:r w:rsidR="0039166E" w:rsidRPr="00412A49">
        <w:rPr>
          <w:rFonts w:ascii="Calibri" w:hAnsi="Calibri"/>
          <w:color w:val="000000"/>
          <w:sz w:val="22"/>
          <w:szCs w:val="22"/>
        </w:rPr>
        <w:lastRenderedPageBreak/>
        <w:t>published in the newspaper</w:t>
      </w:r>
      <w:r w:rsidR="00800FF7" w:rsidRPr="00412A49">
        <w:rPr>
          <w:rFonts w:ascii="Calibri" w:hAnsi="Calibri"/>
          <w:color w:val="000000"/>
          <w:sz w:val="22"/>
          <w:szCs w:val="22"/>
        </w:rPr>
        <w:t>,</w:t>
      </w:r>
      <w:r w:rsidR="0039166E" w:rsidRPr="00412A49">
        <w:rPr>
          <w:rFonts w:ascii="Calibri" w:hAnsi="Calibri"/>
          <w:color w:val="000000"/>
          <w:sz w:val="22"/>
          <w:szCs w:val="22"/>
        </w:rPr>
        <w:t xml:space="preserve"> </w:t>
      </w:r>
      <w:r w:rsidR="00396EA8">
        <w:rPr>
          <w:rFonts w:ascii="Calibri" w:hAnsi="Calibri"/>
          <w:color w:val="000000"/>
          <w:sz w:val="22"/>
          <w:szCs w:val="22"/>
        </w:rPr>
        <w:t>news</w:t>
      </w:r>
      <w:r w:rsidR="0039166E" w:rsidRPr="00412A49">
        <w:rPr>
          <w:rFonts w:ascii="Calibri" w:hAnsi="Calibri"/>
          <w:color w:val="000000"/>
          <w:sz w:val="22"/>
          <w:szCs w:val="22"/>
        </w:rPr>
        <w:t xml:space="preserve">paper’s publication date </w:t>
      </w:r>
      <w:r w:rsidR="00396EA8">
        <w:rPr>
          <w:rFonts w:ascii="Calibri" w:hAnsi="Calibri"/>
          <w:color w:val="000000"/>
          <w:sz w:val="22"/>
          <w:szCs w:val="22"/>
        </w:rPr>
        <w:t>must be</w:t>
      </w:r>
      <w:r w:rsidR="0039166E" w:rsidRPr="00412A49">
        <w:rPr>
          <w:rFonts w:ascii="Calibri" w:hAnsi="Calibri"/>
          <w:color w:val="000000"/>
          <w:sz w:val="22"/>
          <w:szCs w:val="22"/>
        </w:rPr>
        <w:t xml:space="preserve"> visible on the part of the newspaper annexed.  </w:t>
      </w:r>
    </w:p>
    <w:p w:rsidR="0039166E" w:rsidRPr="00412A49" w:rsidRDefault="0039166E" w:rsidP="00810A08">
      <w:pPr>
        <w:numPr>
          <w:ilvl w:val="0"/>
          <w:numId w:val="29"/>
        </w:numPr>
        <w:overflowPunct/>
        <w:autoSpaceDE/>
        <w:autoSpaceDN/>
        <w:adjustRightInd/>
        <w:spacing w:line="360" w:lineRule="auto"/>
        <w:textAlignment w:val="auto"/>
        <w:rPr>
          <w:rFonts w:ascii="Calibri" w:hAnsi="Calibri"/>
          <w:color w:val="000000"/>
          <w:sz w:val="22"/>
          <w:szCs w:val="22"/>
        </w:rPr>
      </w:pPr>
      <w:r w:rsidRPr="00412A49">
        <w:rPr>
          <w:rFonts w:ascii="Calibri" w:hAnsi="Calibri"/>
          <w:color w:val="000000"/>
          <w:sz w:val="22"/>
          <w:szCs w:val="22"/>
        </w:rPr>
        <w:t xml:space="preserve">Documents annexed to an affidavit </w:t>
      </w:r>
      <w:r w:rsidR="00EE6095" w:rsidRPr="00412A49">
        <w:rPr>
          <w:rFonts w:ascii="Calibri" w:hAnsi="Calibri"/>
          <w:color w:val="000000"/>
          <w:sz w:val="22"/>
          <w:szCs w:val="22"/>
        </w:rPr>
        <w:t>must</w:t>
      </w:r>
      <w:r w:rsidRPr="00412A49">
        <w:rPr>
          <w:rFonts w:ascii="Calibri" w:hAnsi="Calibri"/>
          <w:color w:val="000000"/>
          <w:sz w:val="22"/>
          <w:szCs w:val="22"/>
        </w:rPr>
        <w:t xml:space="preserve"> be formally endorsed by the </w:t>
      </w:r>
      <w:r w:rsidR="00334388" w:rsidRPr="00412A49">
        <w:rPr>
          <w:rFonts w:ascii="Calibri" w:hAnsi="Calibri"/>
          <w:color w:val="000000"/>
          <w:sz w:val="22"/>
          <w:szCs w:val="22"/>
        </w:rPr>
        <w:t>person</w:t>
      </w:r>
      <w:r w:rsidRPr="00412A49">
        <w:rPr>
          <w:rFonts w:ascii="Calibri" w:hAnsi="Calibri"/>
          <w:color w:val="000000"/>
          <w:sz w:val="22"/>
          <w:szCs w:val="22"/>
        </w:rPr>
        <w:t xml:space="preserve"> before whom the affidavit is sworn as the exhibit on each page as follows:</w:t>
      </w:r>
    </w:p>
    <w:p w:rsidR="0039166E" w:rsidRPr="00412A49" w:rsidRDefault="0039166E" w:rsidP="0039166E">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Short title:</w:t>
      </w:r>
    </w:p>
    <w:p w:rsidR="0039166E" w:rsidRPr="00412A49" w:rsidRDefault="0039166E" w:rsidP="0039166E">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I certify that this is page …… of the annexure marked “…..”</w:t>
      </w:r>
    </w:p>
    <w:p w:rsidR="0039166E" w:rsidRPr="00412A49" w:rsidRDefault="0039166E" w:rsidP="0039166E">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Referred to in the affidavit of ……………………</w:t>
      </w:r>
    </w:p>
    <w:p w:rsidR="0039166E" w:rsidRPr="00412A49" w:rsidRDefault="0039166E" w:rsidP="0039166E">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Sworn this day.   Signed………………. Dated………….</w:t>
      </w:r>
    </w:p>
    <w:p w:rsidR="0039166E" w:rsidRPr="00412A49" w:rsidRDefault="0039166E" w:rsidP="0039166E">
      <w:pPr>
        <w:overflowPunct/>
        <w:autoSpaceDE/>
        <w:autoSpaceDN/>
        <w:adjustRightInd/>
        <w:spacing w:line="360" w:lineRule="auto"/>
        <w:ind w:left="1080"/>
        <w:textAlignment w:val="auto"/>
        <w:rPr>
          <w:rFonts w:ascii="Calibri" w:hAnsi="Calibri"/>
          <w:color w:val="000000"/>
          <w:sz w:val="20"/>
        </w:rPr>
      </w:pPr>
      <w:r w:rsidRPr="00412A49">
        <w:rPr>
          <w:rFonts w:ascii="Calibri" w:hAnsi="Calibri"/>
          <w:color w:val="000000"/>
          <w:sz w:val="20"/>
        </w:rPr>
        <w:tab/>
      </w:r>
      <w:r w:rsidRPr="00412A49">
        <w:rPr>
          <w:rFonts w:ascii="Calibri" w:hAnsi="Calibri"/>
          <w:color w:val="000000"/>
          <w:sz w:val="20"/>
        </w:rPr>
        <w:tab/>
      </w:r>
      <w:r w:rsidRPr="00412A49">
        <w:rPr>
          <w:rFonts w:ascii="Calibri" w:hAnsi="Calibri"/>
          <w:color w:val="000000"/>
          <w:sz w:val="20"/>
        </w:rPr>
        <w:tab/>
      </w:r>
      <w:r w:rsidRPr="00412A49">
        <w:rPr>
          <w:rFonts w:ascii="Calibri" w:hAnsi="Calibri"/>
          <w:color w:val="000000"/>
          <w:sz w:val="20"/>
        </w:rPr>
        <w:tab/>
        <w:t xml:space="preserve">A </w:t>
      </w:r>
      <w:r w:rsidR="00334388" w:rsidRPr="00412A49">
        <w:rPr>
          <w:rFonts w:ascii="Calibri" w:hAnsi="Calibri"/>
          <w:color w:val="000000"/>
          <w:sz w:val="20"/>
        </w:rPr>
        <w:t>J</w:t>
      </w:r>
      <w:r w:rsidRPr="00412A49">
        <w:rPr>
          <w:rFonts w:ascii="Calibri" w:hAnsi="Calibri"/>
          <w:color w:val="000000"/>
          <w:sz w:val="20"/>
        </w:rPr>
        <w:t xml:space="preserve">ustice of the </w:t>
      </w:r>
      <w:r w:rsidR="00334388" w:rsidRPr="00412A49">
        <w:rPr>
          <w:rFonts w:ascii="Calibri" w:hAnsi="Calibri"/>
          <w:color w:val="000000"/>
          <w:sz w:val="20"/>
        </w:rPr>
        <w:t>P</w:t>
      </w:r>
      <w:r w:rsidRPr="00412A49">
        <w:rPr>
          <w:rFonts w:ascii="Calibri" w:hAnsi="Calibri"/>
          <w:color w:val="000000"/>
          <w:sz w:val="20"/>
        </w:rPr>
        <w:t>eace.</w:t>
      </w:r>
    </w:p>
    <w:p w:rsidR="0039166E" w:rsidRPr="00412A49" w:rsidRDefault="0039166E" w:rsidP="0039166E">
      <w:pPr>
        <w:overflowPunct/>
        <w:autoSpaceDE/>
        <w:autoSpaceDN/>
        <w:adjustRightInd/>
        <w:spacing w:line="360" w:lineRule="auto"/>
        <w:textAlignment w:val="auto"/>
        <w:rPr>
          <w:rFonts w:ascii="Calibri" w:hAnsi="Calibri"/>
          <w:color w:val="000000"/>
          <w:sz w:val="22"/>
          <w:szCs w:val="22"/>
        </w:rPr>
      </w:pPr>
    </w:p>
    <w:p w:rsidR="009936E5" w:rsidRPr="008B2E4E" w:rsidRDefault="00ED7F28" w:rsidP="009936E5">
      <w:pPr>
        <w:overflowPunct/>
        <w:autoSpaceDE/>
        <w:autoSpaceDN/>
        <w:adjustRightInd/>
        <w:spacing w:line="360" w:lineRule="auto"/>
        <w:textAlignment w:val="auto"/>
        <w:rPr>
          <w:rFonts w:ascii="Calibri" w:hAnsi="Calibri"/>
          <w:b/>
          <w:color w:val="000000"/>
          <w:sz w:val="28"/>
          <w:szCs w:val="28"/>
        </w:rPr>
      </w:pPr>
      <w:r w:rsidRPr="008B2E4E">
        <w:rPr>
          <w:rFonts w:ascii="Calibri" w:hAnsi="Calibri"/>
          <w:b/>
          <w:color w:val="000000"/>
          <w:sz w:val="28"/>
          <w:szCs w:val="28"/>
        </w:rPr>
        <w:t>Court contact details</w:t>
      </w:r>
      <w:r w:rsidR="009936E5" w:rsidRPr="008B2E4E">
        <w:rPr>
          <w:rFonts w:ascii="Calibri" w:hAnsi="Calibri"/>
          <w:b/>
          <w:color w:val="000000"/>
          <w:sz w:val="28"/>
          <w:szCs w:val="28"/>
        </w:rPr>
        <w:t>:</w:t>
      </w:r>
    </w:p>
    <w:p w:rsidR="00CA7A7D" w:rsidRPr="00412A49" w:rsidRDefault="00CA7A7D" w:rsidP="00475361">
      <w:pPr>
        <w:overflowPunct/>
        <w:autoSpaceDE/>
        <w:autoSpaceDN/>
        <w:adjustRightInd/>
        <w:spacing w:line="360" w:lineRule="auto"/>
        <w:ind w:firstLine="540"/>
        <w:textAlignment w:val="auto"/>
        <w:rPr>
          <w:rFonts w:ascii="Calibri" w:hAnsi="Calibri"/>
          <w:color w:val="000000"/>
          <w:sz w:val="22"/>
          <w:szCs w:val="22"/>
        </w:rPr>
      </w:pPr>
      <w:r w:rsidRPr="00412A49">
        <w:rPr>
          <w:rFonts w:ascii="Calibri" w:hAnsi="Calibri"/>
          <w:color w:val="000000"/>
          <w:sz w:val="22"/>
          <w:szCs w:val="22"/>
        </w:rPr>
        <w:t xml:space="preserve">Contact details for the Supreme Court for </w:t>
      </w:r>
      <w:r w:rsidR="00C70F20">
        <w:rPr>
          <w:rFonts w:ascii="Calibri" w:hAnsi="Calibri"/>
          <w:color w:val="000000"/>
          <w:sz w:val="22"/>
          <w:szCs w:val="22"/>
        </w:rPr>
        <w:t xml:space="preserve">enquiries about </w:t>
      </w:r>
      <w:r w:rsidRPr="00412A49">
        <w:rPr>
          <w:rFonts w:ascii="Calibri" w:hAnsi="Calibri"/>
          <w:color w:val="000000"/>
          <w:sz w:val="22"/>
          <w:szCs w:val="22"/>
        </w:rPr>
        <w:t xml:space="preserve">admission are as follows: </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CA7A7D" w:rsidRPr="00412A49">
        <w:trPr>
          <w:tblCellSpacing w:w="22" w:type="dxa"/>
        </w:trPr>
        <w:tc>
          <w:tcPr>
            <w:tcW w:w="3301" w:type="dxa"/>
            <w:shd w:val="clear" w:color="auto" w:fill="CCCCCC"/>
          </w:tcPr>
          <w:p w:rsidR="00CA7A7D" w:rsidRPr="00412A49" w:rsidRDefault="00CA7A7D" w:rsidP="00D946B5">
            <w:pPr>
              <w:rPr>
                <w:rFonts w:ascii="Calibri" w:hAnsi="Calibri"/>
                <w:b/>
                <w:bCs/>
                <w:color w:val="000000"/>
                <w:sz w:val="18"/>
                <w:szCs w:val="18"/>
              </w:rPr>
            </w:pPr>
            <w:smartTag w:uri="urn:schemas-microsoft-com:office:smarttags" w:element="City">
              <w:smartTag w:uri="urn:schemas-microsoft-com:office:smarttags" w:element="place">
                <w:r w:rsidRPr="00412A49">
                  <w:rPr>
                    <w:rFonts w:ascii="Calibri" w:hAnsi="Calibri"/>
                    <w:b/>
                    <w:bCs/>
                    <w:color w:val="000000"/>
                    <w:sz w:val="18"/>
                    <w:szCs w:val="18"/>
                  </w:rPr>
                  <w:t>HOBART</w:t>
                </w:r>
              </w:smartTag>
            </w:smartTag>
            <w:r w:rsidRPr="00412A49">
              <w:rPr>
                <w:rFonts w:ascii="Calibri" w:hAnsi="Calibri"/>
                <w:b/>
                <w:bCs/>
                <w:color w:val="000000"/>
                <w:sz w:val="18"/>
                <w:szCs w:val="18"/>
              </w:rPr>
              <w:t xml:space="preserve"> REGISTY:</w:t>
            </w:r>
          </w:p>
        </w:tc>
        <w:tc>
          <w:tcPr>
            <w:tcW w:w="3750" w:type="dxa"/>
            <w:shd w:val="clear" w:color="auto" w:fill="CCCCCC"/>
          </w:tcPr>
          <w:p w:rsidR="00CA7A7D" w:rsidRPr="00412A49" w:rsidRDefault="00CA7A7D" w:rsidP="00D946B5">
            <w:pPr>
              <w:rPr>
                <w:rFonts w:ascii="Calibri" w:hAnsi="Calibri"/>
                <w:color w:val="000000"/>
                <w:sz w:val="18"/>
                <w:szCs w:val="18"/>
              </w:rPr>
            </w:pP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CA7A7D" w:rsidRPr="00412A49" w:rsidRDefault="00CA7A7D" w:rsidP="00D946B5">
            <w:pPr>
              <w:rPr>
                <w:rFonts w:ascii="Calibri" w:hAnsi="Calibri"/>
                <w:color w:val="000000"/>
                <w:sz w:val="18"/>
                <w:szCs w:val="18"/>
              </w:rPr>
            </w:pPr>
            <w:smartTag w:uri="urn:schemas-microsoft-com:office:smarttags" w:element="address">
              <w:smartTag w:uri="urn:schemas-microsoft-com:office:smarttags" w:element="Street">
                <w:r w:rsidRPr="00412A49">
                  <w:rPr>
                    <w:rFonts w:ascii="Calibri" w:hAnsi="Calibri"/>
                    <w:color w:val="000000"/>
                    <w:sz w:val="18"/>
                    <w:szCs w:val="18"/>
                  </w:rPr>
                  <w:t>Salamanca Place</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r w:rsidRPr="00412A49">
                <w:rPr>
                  <w:rFonts w:ascii="Calibri" w:hAnsi="Calibri"/>
                  <w:color w:val="000000"/>
                  <w:sz w:val="18"/>
                  <w:szCs w:val="18"/>
                </w:rPr>
                <w:br/>
              </w:r>
              <w:smartTag w:uri="urn:schemas-microsoft-com:office:smarttags" w:element="State">
                <w:r w:rsidRPr="00412A49">
                  <w:rPr>
                    <w:rFonts w:ascii="Calibri" w:hAnsi="Calibri"/>
                    <w:color w:val="000000"/>
                    <w:sz w:val="18"/>
                    <w:szCs w:val="18"/>
                  </w:rPr>
                  <w:t>Tasmania</w:t>
                </w:r>
              </w:smartTag>
            </w:smartTag>
            <w:r w:rsidRPr="00412A49">
              <w:rPr>
                <w:rFonts w:ascii="Calibri" w:hAnsi="Calibri"/>
                <w:color w:val="000000"/>
                <w:sz w:val="18"/>
                <w:szCs w:val="18"/>
              </w:rPr>
              <w:t xml:space="preserve">  7000</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 167</w:t>
                </w:r>
              </w:smartTag>
              <w:r w:rsidRPr="00412A49">
                <w:rPr>
                  <w:rFonts w:ascii="Calibri" w:hAnsi="Calibri"/>
                  <w:color w:val="000000"/>
                  <w:sz w:val="18"/>
                  <w:szCs w:val="18"/>
                </w:rPr>
                <w:t xml:space="preserve"> </w:t>
              </w:r>
              <w:smartTag w:uri="urn:schemas-microsoft-com:office:smarttags" w:element="City">
                <w:r w:rsidRPr="00412A49">
                  <w:rPr>
                    <w:rFonts w:ascii="Calibri" w:hAnsi="Calibri"/>
                    <w:color w:val="000000"/>
                    <w:sz w:val="18"/>
                    <w:szCs w:val="18"/>
                  </w:rPr>
                  <w:t>Hobart</w:t>
                </w:r>
              </w:smartTag>
            </w:smartTag>
            <w:r w:rsidRPr="00412A49">
              <w:rPr>
                <w:rFonts w:ascii="Calibri" w:hAnsi="Calibri"/>
                <w:color w:val="000000"/>
                <w:sz w:val="18"/>
                <w:szCs w:val="18"/>
              </w:rPr>
              <w:t xml:space="preserve">  7001</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proofErr w:type="spellStart"/>
            <w:r w:rsidRPr="00412A49">
              <w:rPr>
                <w:rFonts w:ascii="Calibri" w:hAnsi="Calibri"/>
                <w:b/>
                <w:bCs/>
                <w:color w:val="000000"/>
                <w:sz w:val="18"/>
                <w:szCs w:val="18"/>
              </w:rPr>
              <w:t>Ausdoc</w:t>
            </w:r>
            <w:proofErr w:type="spellEnd"/>
            <w:r w:rsidRPr="00412A49">
              <w:rPr>
                <w:rFonts w:ascii="Calibri" w:hAnsi="Calibri"/>
                <w:b/>
                <w:bCs/>
                <w:color w:val="000000"/>
                <w:sz w:val="18"/>
                <w:szCs w:val="18"/>
              </w:rPr>
              <w:t>:</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 xml:space="preserve">DX 18 </w:t>
            </w:r>
            <w:smartTag w:uri="urn:schemas-microsoft-com:office:smarttags" w:element="City">
              <w:smartTag w:uri="urn:schemas-microsoft-com:office:smarttags" w:element="place">
                <w:r w:rsidRPr="00412A49">
                  <w:rPr>
                    <w:rFonts w:ascii="Calibri" w:hAnsi="Calibri"/>
                    <w:color w:val="000000"/>
                    <w:sz w:val="18"/>
                    <w:szCs w:val="18"/>
                  </w:rPr>
                  <w:t>Hobart</w:t>
                </w:r>
              </w:smartTag>
            </w:smartTag>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CA7A7D" w:rsidRPr="00412A49" w:rsidRDefault="00B920D1" w:rsidP="00B920D1">
            <w:pPr>
              <w:rPr>
                <w:rFonts w:ascii="Calibri" w:hAnsi="Calibri"/>
                <w:color w:val="000000"/>
                <w:sz w:val="18"/>
                <w:szCs w:val="18"/>
              </w:rPr>
            </w:pPr>
            <w:r>
              <w:rPr>
                <w:rFonts w:ascii="Calibri" w:hAnsi="Calibri"/>
                <w:color w:val="000000"/>
                <w:sz w:val="18"/>
                <w:szCs w:val="18"/>
              </w:rPr>
              <w:t>1300 664 608</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(03) 6223 7816</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CA7A7D" w:rsidRPr="00412A49" w:rsidRDefault="00B920D1" w:rsidP="00D946B5">
            <w:pPr>
              <w:rPr>
                <w:rFonts w:ascii="Calibri" w:hAnsi="Calibri"/>
                <w:color w:val="000000"/>
                <w:sz w:val="18"/>
                <w:szCs w:val="18"/>
              </w:rPr>
            </w:pPr>
            <w:r w:rsidRPr="00B920D1">
              <w:rPr>
                <w:rFonts w:ascii="Calibri" w:hAnsi="Calibri"/>
                <w:color w:val="000000"/>
              </w:rPr>
              <w:t>SupremeCourt@supremecourt.tas.gov.au</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9.00am - 4.30pm  (Monday-Friday)</w:t>
            </w:r>
          </w:p>
        </w:tc>
      </w:tr>
    </w:tbl>
    <w:p w:rsidR="00CA7A7D" w:rsidRDefault="00CA7A7D" w:rsidP="00CA7A7D">
      <w:pPr>
        <w:overflowPunct/>
        <w:autoSpaceDE/>
        <w:autoSpaceDN/>
        <w:adjustRightInd/>
        <w:spacing w:line="360" w:lineRule="auto"/>
        <w:textAlignment w:val="auto"/>
        <w:rPr>
          <w:rFonts w:ascii="Calibri" w:hAnsi="Calibri"/>
          <w:color w:val="000000"/>
          <w:sz w:val="22"/>
          <w:szCs w:val="22"/>
        </w:rPr>
      </w:pPr>
    </w:p>
    <w:p w:rsidR="00C70F20" w:rsidRPr="00412A49" w:rsidRDefault="00C70F20" w:rsidP="00C70F20">
      <w:pPr>
        <w:overflowPunct/>
        <w:autoSpaceDE/>
        <w:autoSpaceDN/>
        <w:adjustRightInd/>
        <w:spacing w:line="360" w:lineRule="auto"/>
        <w:ind w:firstLine="540"/>
        <w:textAlignment w:val="auto"/>
        <w:rPr>
          <w:rFonts w:ascii="Calibri" w:hAnsi="Calibri"/>
          <w:color w:val="000000"/>
          <w:sz w:val="22"/>
          <w:szCs w:val="22"/>
        </w:rPr>
      </w:pPr>
      <w:r>
        <w:rPr>
          <w:rFonts w:ascii="Calibri" w:hAnsi="Calibri"/>
          <w:color w:val="000000"/>
          <w:sz w:val="22"/>
          <w:szCs w:val="22"/>
        </w:rPr>
        <w:t>The addresses for the Supreme Court district registries are as follows:</w:t>
      </w: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CA7A7D" w:rsidRPr="00412A49">
        <w:trPr>
          <w:tblCellSpacing w:w="22" w:type="dxa"/>
        </w:trPr>
        <w:tc>
          <w:tcPr>
            <w:tcW w:w="3301" w:type="dxa"/>
            <w:shd w:val="clear" w:color="auto" w:fill="CCCCCC"/>
          </w:tcPr>
          <w:p w:rsidR="00CA7A7D" w:rsidRPr="00412A49" w:rsidRDefault="00CA7A7D" w:rsidP="00D946B5">
            <w:pPr>
              <w:rPr>
                <w:rFonts w:ascii="Calibri" w:hAnsi="Calibri"/>
                <w:b/>
                <w:bCs/>
                <w:color w:val="000000"/>
                <w:sz w:val="18"/>
                <w:szCs w:val="18"/>
              </w:rPr>
            </w:pPr>
            <w:r w:rsidRPr="00412A49">
              <w:rPr>
                <w:rFonts w:ascii="Calibri" w:hAnsi="Calibri"/>
                <w:b/>
                <w:bCs/>
                <w:color w:val="000000"/>
                <w:sz w:val="18"/>
                <w:szCs w:val="18"/>
              </w:rPr>
              <w:t>LAUNCESTON DISTRICT REGISTY:</w:t>
            </w:r>
          </w:p>
        </w:tc>
        <w:tc>
          <w:tcPr>
            <w:tcW w:w="3750" w:type="dxa"/>
            <w:shd w:val="clear" w:color="auto" w:fill="CCCCCC"/>
          </w:tcPr>
          <w:p w:rsidR="00CA7A7D" w:rsidRPr="00412A49" w:rsidRDefault="00CA7A7D" w:rsidP="00D946B5">
            <w:pPr>
              <w:rPr>
                <w:rFonts w:ascii="Calibri" w:hAnsi="Calibri"/>
                <w:color w:val="000000"/>
                <w:sz w:val="18"/>
                <w:szCs w:val="18"/>
              </w:rPr>
            </w:pP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CA7A7D" w:rsidRPr="00412A49" w:rsidRDefault="00CA7A7D" w:rsidP="00D946B5">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Cameron St</w:t>
                </w:r>
              </w:smartTag>
            </w:smartTag>
            <w:r w:rsidRPr="00412A49">
              <w:rPr>
                <w:rFonts w:ascii="Calibri" w:hAnsi="Calibri"/>
                <w:color w:val="000000"/>
                <w:sz w:val="18"/>
                <w:szCs w:val="18"/>
              </w:rPr>
              <w:t>, Launceston 7250, Tas</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190</w:t>
              </w:r>
            </w:smartTag>
            <w:r w:rsidRPr="00412A49">
              <w:rPr>
                <w:rFonts w:ascii="Calibri" w:hAnsi="Calibri"/>
                <w:color w:val="000000"/>
                <w:sz w:val="18"/>
                <w:szCs w:val="18"/>
              </w:rPr>
              <w:t xml:space="preserve">  Launceston 7250 </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proofErr w:type="spellStart"/>
            <w:r w:rsidRPr="00412A49">
              <w:rPr>
                <w:rFonts w:ascii="Calibri" w:hAnsi="Calibri"/>
                <w:b/>
                <w:bCs/>
                <w:color w:val="000000"/>
                <w:sz w:val="18"/>
                <w:szCs w:val="18"/>
              </w:rPr>
              <w:t>Ausdoc</w:t>
            </w:r>
            <w:proofErr w:type="spellEnd"/>
            <w:r w:rsidRPr="00412A49">
              <w:rPr>
                <w:rFonts w:ascii="Calibri" w:hAnsi="Calibri"/>
                <w:b/>
                <w:bCs/>
                <w:color w:val="000000"/>
                <w:sz w:val="18"/>
                <w:szCs w:val="18"/>
              </w:rPr>
              <w:t>:</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DX 70117  Launceston</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CA7A7D" w:rsidRPr="00412A49" w:rsidRDefault="00B920D1" w:rsidP="00D946B5">
            <w:pPr>
              <w:rPr>
                <w:rFonts w:ascii="Calibri" w:hAnsi="Calibri"/>
                <w:color w:val="000000"/>
                <w:sz w:val="18"/>
                <w:szCs w:val="18"/>
              </w:rPr>
            </w:pPr>
            <w:r>
              <w:rPr>
                <w:rFonts w:ascii="Calibri" w:hAnsi="Calibri"/>
                <w:color w:val="000000"/>
                <w:sz w:val="18"/>
                <w:szCs w:val="18"/>
              </w:rPr>
              <w:t>1300 664 608</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(03) 6331</w:t>
            </w:r>
            <w:r w:rsidR="00B920D1">
              <w:rPr>
                <w:rFonts w:ascii="Calibri" w:hAnsi="Calibri"/>
                <w:color w:val="000000"/>
                <w:sz w:val="18"/>
                <w:szCs w:val="18"/>
              </w:rPr>
              <w:t xml:space="preserve"> </w:t>
            </w:r>
            <w:r w:rsidRPr="00412A49">
              <w:rPr>
                <w:rFonts w:ascii="Calibri" w:hAnsi="Calibri"/>
                <w:color w:val="000000"/>
                <w:sz w:val="18"/>
                <w:szCs w:val="18"/>
              </w:rPr>
              <w:t>8618</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CA7A7D" w:rsidRPr="00412A49" w:rsidRDefault="00B920D1" w:rsidP="00D946B5">
            <w:pPr>
              <w:rPr>
                <w:rFonts w:ascii="Calibri" w:hAnsi="Calibri"/>
                <w:color w:val="000000"/>
                <w:sz w:val="18"/>
                <w:szCs w:val="18"/>
              </w:rPr>
            </w:pPr>
            <w:r w:rsidRPr="00B920D1">
              <w:rPr>
                <w:rFonts w:ascii="Calibri" w:hAnsi="Calibri"/>
                <w:color w:val="000000"/>
              </w:rPr>
              <w:t>SupremeCourt@supremecourt.tas.gov.au</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CA7A7D" w:rsidRPr="00412A49" w:rsidRDefault="00CA7A7D" w:rsidP="00CA7A7D">
      <w:pPr>
        <w:overflowPunct/>
        <w:autoSpaceDE/>
        <w:autoSpaceDN/>
        <w:adjustRightInd/>
        <w:spacing w:line="360" w:lineRule="auto"/>
        <w:ind w:left="360"/>
        <w:textAlignment w:val="auto"/>
        <w:rPr>
          <w:rFonts w:ascii="Calibri" w:hAnsi="Calibri"/>
          <w:color w:val="000000"/>
          <w:sz w:val="22"/>
          <w:szCs w:val="22"/>
        </w:rPr>
      </w:pPr>
    </w:p>
    <w:tbl>
      <w:tblPr>
        <w:tblW w:w="0" w:type="auto"/>
        <w:tblCellSpacing w:w="22" w:type="dxa"/>
        <w:tblInd w:w="449" w:type="dxa"/>
        <w:tblCellMar>
          <w:top w:w="45" w:type="dxa"/>
          <w:left w:w="45" w:type="dxa"/>
          <w:bottom w:w="45" w:type="dxa"/>
          <w:right w:w="45" w:type="dxa"/>
        </w:tblCellMar>
        <w:tblLook w:val="0000" w:firstRow="0" w:lastRow="0" w:firstColumn="0" w:lastColumn="0" w:noHBand="0" w:noVBand="0"/>
      </w:tblPr>
      <w:tblGrid>
        <w:gridCol w:w="3367"/>
        <w:gridCol w:w="3816"/>
      </w:tblGrid>
      <w:tr w:rsidR="00CA7A7D" w:rsidRPr="00412A49">
        <w:trPr>
          <w:tblCellSpacing w:w="22" w:type="dxa"/>
        </w:trPr>
        <w:tc>
          <w:tcPr>
            <w:tcW w:w="3301" w:type="dxa"/>
            <w:shd w:val="clear" w:color="auto" w:fill="CCCCCC"/>
          </w:tcPr>
          <w:p w:rsidR="00CA7A7D" w:rsidRPr="00412A49" w:rsidRDefault="00CA7A7D" w:rsidP="00D946B5">
            <w:pPr>
              <w:rPr>
                <w:rFonts w:ascii="Calibri" w:hAnsi="Calibri"/>
                <w:b/>
                <w:bCs/>
                <w:color w:val="000000"/>
                <w:sz w:val="18"/>
                <w:szCs w:val="18"/>
              </w:rPr>
            </w:pPr>
            <w:r w:rsidRPr="00412A49">
              <w:rPr>
                <w:rFonts w:ascii="Calibri" w:hAnsi="Calibri"/>
                <w:b/>
                <w:bCs/>
                <w:color w:val="000000"/>
                <w:sz w:val="18"/>
                <w:szCs w:val="18"/>
              </w:rPr>
              <w:t>BURNIE DISTRICT REGISTY:</w:t>
            </w:r>
          </w:p>
        </w:tc>
        <w:tc>
          <w:tcPr>
            <w:tcW w:w="3750" w:type="dxa"/>
            <w:shd w:val="clear" w:color="auto" w:fill="CCCCCC"/>
          </w:tcPr>
          <w:p w:rsidR="00CA7A7D" w:rsidRPr="00412A49" w:rsidRDefault="00CA7A7D" w:rsidP="00D946B5">
            <w:pPr>
              <w:rPr>
                <w:rFonts w:ascii="Calibri" w:hAnsi="Calibri"/>
                <w:color w:val="000000"/>
                <w:sz w:val="18"/>
                <w:szCs w:val="18"/>
              </w:rPr>
            </w:pP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Address:</w:t>
            </w:r>
          </w:p>
        </w:tc>
        <w:tc>
          <w:tcPr>
            <w:tcW w:w="3750" w:type="dxa"/>
            <w:shd w:val="clear" w:color="auto" w:fill="CCCCCC"/>
          </w:tcPr>
          <w:p w:rsidR="00CA7A7D" w:rsidRPr="00412A49" w:rsidRDefault="00CA7A7D" w:rsidP="00D946B5">
            <w:pPr>
              <w:rPr>
                <w:rFonts w:ascii="Calibri" w:hAnsi="Calibri"/>
                <w:color w:val="000000"/>
                <w:sz w:val="18"/>
                <w:szCs w:val="18"/>
              </w:rPr>
            </w:pPr>
            <w:smartTag w:uri="urn:schemas-microsoft-com:office:smarttags" w:element="Street">
              <w:smartTag w:uri="urn:schemas-microsoft-com:office:smarttags" w:element="address">
                <w:r w:rsidRPr="00412A49">
                  <w:rPr>
                    <w:rFonts w:ascii="Calibri" w:hAnsi="Calibri"/>
                    <w:color w:val="000000"/>
                    <w:sz w:val="18"/>
                    <w:szCs w:val="18"/>
                  </w:rPr>
                  <w:t>38 Alexander St</w:t>
                </w:r>
              </w:smartTag>
            </w:smartTag>
            <w:r w:rsidRPr="00412A49">
              <w:rPr>
                <w:rFonts w:ascii="Calibri" w:hAnsi="Calibri"/>
                <w:color w:val="000000"/>
                <w:sz w:val="18"/>
                <w:szCs w:val="18"/>
              </w:rPr>
              <w:t>, Burnie, 7320, Tas</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Postal:</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 xml:space="preserve">GPO </w:t>
            </w:r>
            <w:smartTag w:uri="urn:schemas-microsoft-com:office:smarttags" w:element="address">
              <w:smartTag w:uri="urn:schemas-microsoft-com:office:smarttags" w:element="Street">
                <w:r w:rsidRPr="00412A49">
                  <w:rPr>
                    <w:rFonts w:ascii="Calibri" w:hAnsi="Calibri"/>
                    <w:color w:val="000000"/>
                    <w:sz w:val="18"/>
                    <w:szCs w:val="18"/>
                  </w:rPr>
                  <w:t>Box</w:t>
                </w:r>
              </w:smartTag>
              <w:r w:rsidRPr="00412A49">
                <w:rPr>
                  <w:rFonts w:ascii="Calibri" w:hAnsi="Calibri"/>
                  <w:color w:val="000000"/>
                  <w:sz w:val="18"/>
                  <w:szCs w:val="18"/>
                </w:rPr>
                <w:t xml:space="preserve"> 690</w:t>
              </w:r>
            </w:smartTag>
            <w:r w:rsidRPr="00412A49">
              <w:rPr>
                <w:rFonts w:ascii="Calibri" w:hAnsi="Calibri"/>
                <w:color w:val="000000"/>
                <w:sz w:val="18"/>
                <w:szCs w:val="18"/>
              </w:rPr>
              <w:t xml:space="preserve">  Burnie 7320 </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proofErr w:type="spellStart"/>
            <w:r w:rsidRPr="00412A49">
              <w:rPr>
                <w:rFonts w:ascii="Calibri" w:hAnsi="Calibri"/>
                <w:b/>
                <w:bCs/>
                <w:color w:val="000000"/>
                <w:sz w:val="18"/>
                <w:szCs w:val="18"/>
              </w:rPr>
              <w:lastRenderedPageBreak/>
              <w:t>Ausdoc</w:t>
            </w:r>
            <w:proofErr w:type="spellEnd"/>
            <w:r w:rsidRPr="00412A49">
              <w:rPr>
                <w:rFonts w:ascii="Calibri" w:hAnsi="Calibri"/>
                <w:b/>
                <w:bCs/>
                <w:color w:val="000000"/>
                <w:sz w:val="18"/>
                <w:szCs w:val="18"/>
              </w:rPr>
              <w:t>:</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DX 70228  Burnie</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Telephone:</w:t>
            </w:r>
          </w:p>
        </w:tc>
        <w:tc>
          <w:tcPr>
            <w:tcW w:w="3750" w:type="dxa"/>
            <w:shd w:val="clear" w:color="auto" w:fill="CCCCCC"/>
          </w:tcPr>
          <w:p w:rsidR="00CA7A7D" w:rsidRPr="00412A49" w:rsidRDefault="00B920D1" w:rsidP="00D946B5">
            <w:pPr>
              <w:rPr>
                <w:rFonts w:ascii="Calibri" w:hAnsi="Calibri"/>
                <w:color w:val="000000"/>
                <w:sz w:val="18"/>
                <w:szCs w:val="18"/>
              </w:rPr>
            </w:pPr>
            <w:r>
              <w:rPr>
                <w:rFonts w:ascii="Calibri" w:hAnsi="Calibri"/>
                <w:color w:val="000000"/>
                <w:sz w:val="18"/>
                <w:szCs w:val="18"/>
              </w:rPr>
              <w:t>1300 664 608</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Facsimile:</w:t>
            </w:r>
          </w:p>
        </w:tc>
        <w:tc>
          <w:tcPr>
            <w:tcW w:w="3750" w:type="dxa"/>
            <w:shd w:val="clear" w:color="auto" w:fill="CCCCCC"/>
          </w:tcPr>
          <w:p w:rsidR="00CA7A7D" w:rsidRPr="00412A49" w:rsidRDefault="00CA7A7D" w:rsidP="004523FB">
            <w:pPr>
              <w:rPr>
                <w:rFonts w:ascii="Calibri" w:hAnsi="Calibri"/>
                <w:color w:val="000000"/>
                <w:sz w:val="18"/>
                <w:szCs w:val="18"/>
              </w:rPr>
            </w:pPr>
            <w:r w:rsidRPr="00412A49">
              <w:rPr>
                <w:rFonts w:ascii="Calibri" w:hAnsi="Calibri"/>
                <w:color w:val="000000"/>
                <w:sz w:val="18"/>
                <w:szCs w:val="18"/>
              </w:rPr>
              <w:t xml:space="preserve">(03) </w:t>
            </w:r>
            <w:r w:rsidR="004523FB">
              <w:rPr>
                <w:rFonts w:ascii="Calibri" w:hAnsi="Calibri"/>
                <w:color w:val="000000"/>
                <w:sz w:val="18"/>
                <w:szCs w:val="18"/>
              </w:rPr>
              <w:t>6464 1902</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Email:</w:t>
            </w:r>
          </w:p>
        </w:tc>
        <w:tc>
          <w:tcPr>
            <w:tcW w:w="3750" w:type="dxa"/>
            <w:shd w:val="clear" w:color="auto" w:fill="CCCCCC"/>
          </w:tcPr>
          <w:p w:rsidR="00CA7A7D" w:rsidRPr="00412A49" w:rsidRDefault="00B920D1" w:rsidP="00D946B5">
            <w:pPr>
              <w:rPr>
                <w:rFonts w:ascii="Calibri" w:hAnsi="Calibri"/>
                <w:color w:val="000000"/>
                <w:sz w:val="18"/>
                <w:szCs w:val="18"/>
              </w:rPr>
            </w:pPr>
            <w:r w:rsidRPr="00B920D1">
              <w:rPr>
                <w:rFonts w:ascii="Calibri" w:hAnsi="Calibri"/>
                <w:color w:val="000000"/>
              </w:rPr>
              <w:t>SupremeCourt@supremecourt.tas.gov.au</w:t>
            </w:r>
          </w:p>
        </w:tc>
      </w:tr>
      <w:tr w:rsidR="00CA7A7D" w:rsidRPr="00412A49">
        <w:trPr>
          <w:tblCellSpacing w:w="22" w:type="dxa"/>
        </w:trPr>
        <w:tc>
          <w:tcPr>
            <w:tcW w:w="3301"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b/>
                <w:bCs/>
                <w:color w:val="000000"/>
                <w:sz w:val="18"/>
                <w:szCs w:val="18"/>
              </w:rPr>
              <w:t>Office Hours</w:t>
            </w:r>
          </w:p>
        </w:tc>
        <w:tc>
          <w:tcPr>
            <w:tcW w:w="3750" w:type="dxa"/>
            <w:shd w:val="clear" w:color="auto" w:fill="CCCCCC"/>
          </w:tcPr>
          <w:p w:rsidR="00CA7A7D" w:rsidRPr="00412A49" w:rsidRDefault="00CA7A7D" w:rsidP="00D946B5">
            <w:pPr>
              <w:rPr>
                <w:rFonts w:ascii="Calibri" w:hAnsi="Calibri"/>
                <w:color w:val="000000"/>
                <w:sz w:val="18"/>
                <w:szCs w:val="18"/>
              </w:rPr>
            </w:pPr>
            <w:r w:rsidRPr="00412A49">
              <w:rPr>
                <w:rFonts w:ascii="Calibri" w:hAnsi="Calibri"/>
                <w:color w:val="000000"/>
                <w:sz w:val="18"/>
                <w:szCs w:val="18"/>
              </w:rPr>
              <w:t>9.00am - 4.30pm  (Monday-Friday, not including the lunch hour between 1.00 and 2.00 pm)</w:t>
            </w:r>
          </w:p>
        </w:tc>
      </w:tr>
    </w:tbl>
    <w:p w:rsidR="00CA7A7D" w:rsidRPr="00412A49" w:rsidRDefault="00CA7A7D" w:rsidP="00CA7A7D">
      <w:pPr>
        <w:rPr>
          <w:rFonts w:ascii="Calibri" w:hAnsi="Calibri"/>
          <w:color w:val="000000"/>
        </w:rPr>
      </w:pPr>
    </w:p>
    <w:p w:rsidR="00CA7A7D" w:rsidRPr="00412A49" w:rsidRDefault="00CA7A7D" w:rsidP="00DD06D2">
      <w:pPr>
        <w:spacing w:line="360" w:lineRule="auto"/>
        <w:ind w:firstLine="539"/>
        <w:rPr>
          <w:rFonts w:ascii="Calibri" w:hAnsi="Calibri"/>
          <w:color w:val="000000"/>
        </w:rPr>
      </w:pPr>
    </w:p>
    <w:sectPr w:rsidR="00CA7A7D" w:rsidRPr="00412A49" w:rsidSect="0073589B">
      <w:headerReference w:type="even" r:id="rId13"/>
      <w:headerReference w:type="default" r:id="rId14"/>
      <w:footerReference w:type="even" r:id="rId15"/>
      <w:footerReference w:type="default" r:id="rId16"/>
      <w:headerReference w:type="first" r:id="rId17"/>
      <w:footerReference w:type="first" r:id="rId18"/>
      <w:pgSz w:w="11909" w:h="16834" w:code="9"/>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E1" w:rsidRDefault="000A2FE1">
      <w:r>
        <w:separator/>
      </w:r>
    </w:p>
  </w:endnote>
  <w:endnote w:type="continuationSeparator" w:id="0">
    <w:p w:rsidR="000A2FE1" w:rsidRDefault="000A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F7" w:rsidRDefault="00D429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A8" w:rsidRDefault="007C03A8" w:rsidP="0073589B">
    <w:pPr>
      <w:spacing w:line="360" w:lineRule="auto"/>
      <w:jc w:val="center"/>
      <w:rPr>
        <w:rFonts w:ascii="Calibri" w:hAnsi="Calibri"/>
        <w:szCs w:val="16"/>
      </w:rPr>
    </w:pPr>
    <w:bookmarkStart w:id="5" w:name="_GoBack"/>
    <w:bookmarkEnd w:id="5"/>
  </w:p>
  <w:p w:rsidR="007C03A8" w:rsidRPr="00346829" w:rsidRDefault="007C03A8" w:rsidP="0073589B">
    <w:pPr>
      <w:spacing w:line="360" w:lineRule="auto"/>
      <w:jc w:val="center"/>
      <w:rPr>
        <w:rFonts w:ascii="Calibri" w:hAnsi="Calibri"/>
        <w:szCs w:val="16"/>
      </w:rPr>
    </w:pPr>
    <w:r>
      <w:rPr>
        <w:rFonts w:ascii="Calibri" w:hAnsi="Calibri"/>
        <w:szCs w:val="16"/>
      </w:rPr>
      <w:t>This document may be amended or</w:t>
    </w:r>
    <w:r w:rsidRPr="00346829">
      <w:rPr>
        <w:rFonts w:ascii="Calibri" w:hAnsi="Calibri"/>
        <w:szCs w:val="16"/>
      </w:rPr>
      <w:t xml:space="preserve"> updated at any time.</w:t>
    </w:r>
  </w:p>
  <w:p w:rsidR="007C03A8" w:rsidRPr="00346829" w:rsidRDefault="007C03A8" w:rsidP="0073589B">
    <w:pPr>
      <w:spacing w:line="360" w:lineRule="auto"/>
      <w:jc w:val="center"/>
      <w:rPr>
        <w:rFonts w:ascii="Calibri" w:hAnsi="Calibri"/>
        <w:szCs w:val="16"/>
      </w:rPr>
    </w:pPr>
    <w:r>
      <w:rPr>
        <w:rFonts w:ascii="Calibri" w:hAnsi="Calibri"/>
        <w:szCs w:val="16"/>
      </w:rPr>
      <w:t>Last modified</w:t>
    </w:r>
    <w:r w:rsidRPr="00346829">
      <w:rPr>
        <w:rFonts w:ascii="Calibri" w:hAnsi="Calibri"/>
        <w:szCs w:val="16"/>
      </w:rPr>
      <w:t xml:space="preserve">: </w:t>
    </w:r>
    <w:r w:rsidR="00AA6D47">
      <w:rPr>
        <w:rFonts w:ascii="Calibri" w:hAnsi="Calibri"/>
        <w:szCs w:val="16"/>
      </w:rPr>
      <w:t>03</w:t>
    </w:r>
    <w:r w:rsidR="00F052D9">
      <w:rPr>
        <w:rFonts w:ascii="Calibri" w:hAnsi="Calibri"/>
        <w:szCs w:val="16"/>
      </w:rPr>
      <w:t>/</w:t>
    </w:r>
    <w:r w:rsidR="00AA6D47">
      <w:rPr>
        <w:rFonts w:ascii="Calibri" w:hAnsi="Calibri"/>
        <w:szCs w:val="16"/>
      </w:rPr>
      <w:t>09</w:t>
    </w:r>
    <w:r w:rsidR="00F052D9">
      <w:rPr>
        <w:rFonts w:ascii="Calibri" w:hAnsi="Calibri"/>
        <w:szCs w:val="16"/>
      </w:rPr>
      <w:t>/201</w:t>
    </w:r>
    <w:r w:rsidR="00AA6D47">
      <w:rPr>
        <w:rFonts w:ascii="Calibri" w:hAnsi="Calibri"/>
        <w:szCs w:val="16"/>
      </w:rPr>
      <w:t>9</w:t>
    </w:r>
  </w:p>
  <w:p w:rsidR="007C03A8" w:rsidRPr="00346829" w:rsidRDefault="007C03A8" w:rsidP="0073589B">
    <w:pPr>
      <w:pStyle w:val="Footer"/>
      <w:rPr>
        <w:rFonts w:ascii="Calibri" w:hAnsi="Calibri"/>
      </w:rPr>
    </w:pPr>
  </w:p>
  <w:p w:rsidR="007C03A8" w:rsidRPr="00346829" w:rsidRDefault="007C03A8">
    <w:pPr>
      <w:pStyle w:val="Footer"/>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A8" w:rsidRDefault="007C03A8" w:rsidP="0073589B">
    <w:pPr>
      <w:spacing w:line="360" w:lineRule="auto"/>
      <w:jc w:val="center"/>
      <w:rPr>
        <w:rFonts w:ascii="Calibri" w:hAnsi="Calibri"/>
        <w:szCs w:val="16"/>
      </w:rPr>
    </w:pPr>
  </w:p>
  <w:p w:rsidR="007C03A8" w:rsidRPr="00D70341" w:rsidRDefault="007C03A8" w:rsidP="0073589B">
    <w:pPr>
      <w:spacing w:line="360" w:lineRule="auto"/>
      <w:jc w:val="center"/>
      <w:rPr>
        <w:rFonts w:ascii="Calibri" w:hAnsi="Calibri"/>
        <w:szCs w:val="16"/>
      </w:rPr>
    </w:pPr>
    <w:r w:rsidRPr="00D70341">
      <w:rPr>
        <w:rFonts w:ascii="Calibri" w:hAnsi="Calibri"/>
        <w:szCs w:val="16"/>
      </w:rPr>
      <w:t xml:space="preserve">This document may be amended </w:t>
    </w:r>
    <w:r>
      <w:rPr>
        <w:rFonts w:ascii="Calibri" w:hAnsi="Calibri"/>
        <w:szCs w:val="16"/>
      </w:rPr>
      <w:t xml:space="preserve">or </w:t>
    </w:r>
    <w:r w:rsidRPr="00D70341">
      <w:rPr>
        <w:rFonts w:ascii="Calibri" w:hAnsi="Calibri"/>
        <w:szCs w:val="16"/>
      </w:rPr>
      <w:t>updated at any time.</w:t>
    </w:r>
  </w:p>
  <w:p w:rsidR="007C03A8" w:rsidRPr="00D70341" w:rsidRDefault="007C03A8" w:rsidP="0073589B">
    <w:pPr>
      <w:spacing w:line="360" w:lineRule="auto"/>
      <w:jc w:val="center"/>
      <w:rPr>
        <w:rFonts w:ascii="Calibri" w:hAnsi="Calibri"/>
        <w:szCs w:val="16"/>
      </w:rPr>
    </w:pPr>
    <w:r w:rsidRPr="00D70341">
      <w:rPr>
        <w:rFonts w:ascii="Calibri" w:hAnsi="Calibri"/>
        <w:szCs w:val="16"/>
      </w:rPr>
      <w:t xml:space="preserve">Last </w:t>
    </w:r>
    <w:r>
      <w:rPr>
        <w:rFonts w:ascii="Calibri" w:hAnsi="Calibri"/>
        <w:szCs w:val="16"/>
      </w:rPr>
      <w:t>modified</w:t>
    </w:r>
    <w:r w:rsidRPr="00D70341">
      <w:rPr>
        <w:rFonts w:ascii="Calibri" w:hAnsi="Calibri"/>
        <w:szCs w:val="16"/>
      </w:rPr>
      <w:t xml:space="preserve">: </w:t>
    </w:r>
    <w:r w:rsidR="000203E5">
      <w:rPr>
        <w:rFonts w:ascii="Calibri" w:hAnsi="Calibri"/>
        <w:szCs w:val="16"/>
      </w:rPr>
      <w:t>0</w:t>
    </w:r>
    <w:r w:rsidR="00D429F7">
      <w:rPr>
        <w:rFonts w:ascii="Calibri" w:hAnsi="Calibri"/>
        <w:szCs w:val="16"/>
      </w:rPr>
      <w:t>3</w:t>
    </w:r>
    <w:r w:rsidR="00DF7FB0">
      <w:rPr>
        <w:rFonts w:ascii="Calibri" w:hAnsi="Calibri"/>
        <w:szCs w:val="16"/>
      </w:rPr>
      <w:t>/0</w:t>
    </w:r>
    <w:r w:rsidR="000203E5">
      <w:rPr>
        <w:rFonts w:ascii="Calibri" w:hAnsi="Calibri"/>
        <w:szCs w:val="16"/>
      </w:rPr>
      <w:t>9</w:t>
    </w:r>
    <w:r>
      <w:rPr>
        <w:rFonts w:ascii="Calibri" w:hAnsi="Calibri"/>
        <w:szCs w:val="16"/>
      </w:rPr>
      <w:t>/201</w:t>
    </w:r>
    <w:r w:rsidR="000203E5">
      <w:rPr>
        <w:rFonts w:ascii="Calibri" w:hAnsi="Calibri"/>
        <w:szCs w:val="16"/>
      </w:rPr>
      <w:t>9</w:t>
    </w:r>
  </w:p>
  <w:p w:rsidR="007C03A8" w:rsidRPr="00D70341" w:rsidRDefault="007C03A8" w:rsidP="0073589B">
    <w:pPr>
      <w:pStyle w:val="Footer"/>
      <w:rPr>
        <w:rFonts w:ascii="Calibri" w:hAnsi="Calibri"/>
      </w:rPr>
    </w:pPr>
  </w:p>
  <w:p w:rsidR="007C03A8" w:rsidRPr="00D70341" w:rsidRDefault="007C03A8">
    <w:pPr>
      <w:pStyle w:val="Foo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E1" w:rsidRDefault="000A2FE1">
      <w:r>
        <w:separator/>
      </w:r>
    </w:p>
  </w:footnote>
  <w:footnote w:type="continuationSeparator" w:id="0">
    <w:p w:rsidR="000A2FE1" w:rsidRDefault="000A2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9F7" w:rsidRDefault="00D429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A8" w:rsidRPr="00D70341" w:rsidRDefault="007C03A8" w:rsidP="0073589B">
    <w:pPr>
      <w:pStyle w:val="Header"/>
      <w:jc w:val="right"/>
      <w:rPr>
        <w:rFonts w:ascii="Calibri" w:hAnsi="Calibri"/>
        <w:sz w:val="22"/>
        <w:szCs w:val="22"/>
      </w:rPr>
    </w:pPr>
    <w:r w:rsidRPr="00521364">
      <w:rPr>
        <w:rStyle w:val="PageNumber"/>
        <w:rFonts w:ascii="Calibri" w:hAnsi="Calibri"/>
        <w:szCs w:val="16"/>
      </w:rPr>
      <w:t>Part B- local applicants</w:t>
    </w:r>
    <w:r>
      <w:rPr>
        <w:rStyle w:val="PageNumber"/>
        <w:rFonts w:ascii="Calibri" w:hAnsi="Calibri"/>
        <w:sz w:val="22"/>
        <w:szCs w:val="22"/>
      </w:rPr>
      <w:t xml:space="preserve">- </w:t>
    </w:r>
    <w:r w:rsidRPr="00D70341">
      <w:rPr>
        <w:rStyle w:val="PageNumber"/>
        <w:rFonts w:ascii="Calibri" w:hAnsi="Calibri"/>
        <w:sz w:val="22"/>
        <w:szCs w:val="22"/>
      </w:rPr>
      <w:fldChar w:fldCharType="begin"/>
    </w:r>
    <w:r w:rsidRPr="00D70341">
      <w:rPr>
        <w:rStyle w:val="PageNumber"/>
        <w:rFonts w:ascii="Calibri" w:hAnsi="Calibri"/>
        <w:sz w:val="22"/>
        <w:szCs w:val="22"/>
      </w:rPr>
      <w:instrText xml:space="preserve"> PAGE </w:instrText>
    </w:r>
    <w:r w:rsidRPr="00D70341">
      <w:rPr>
        <w:rStyle w:val="PageNumber"/>
        <w:rFonts w:ascii="Calibri" w:hAnsi="Calibri"/>
        <w:sz w:val="22"/>
        <w:szCs w:val="22"/>
      </w:rPr>
      <w:fldChar w:fldCharType="separate"/>
    </w:r>
    <w:r w:rsidR="00D429F7">
      <w:rPr>
        <w:rStyle w:val="PageNumber"/>
        <w:rFonts w:ascii="Calibri" w:hAnsi="Calibri"/>
        <w:noProof/>
        <w:sz w:val="22"/>
        <w:szCs w:val="22"/>
      </w:rPr>
      <w:t>5</w:t>
    </w:r>
    <w:r w:rsidRPr="00D70341">
      <w:rPr>
        <w:rStyle w:val="PageNumber"/>
        <w:rFonts w:ascii="Calibri" w:hAnsi="Calibri"/>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3A8" w:rsidRPr="00E1616A" w:rsidRDefault="007C03A8" w:rsidP="00E1616A">
    <w:pPr>
      <w:pStyle w:val="Header"/>
      <w:jc w:val="right"/>
      <w:rPr>
        <w:rFonts w:ascii="Calibri" w:hAnsi="Calibri"/>
        <w:sz w:val="20"/>
      </w:rPr>
    </w:pPr>
    <w:r>
      <w:rPr>
        <w:rStyle w:val="PageNumber"/>
        <w:rFonts w:ascii="Calibri" w:hAnsi="Calibri"/>
        <w:szCs w:val="16"/>
      </w:rPr>
      <w:t>Par</w:t>
    </w:r>
    <w:r w:rsidRPr="00521364">
      <w:rPr>
        <w:rStyle w:val="PageNumber"/>
        <w:rFonts w:ascii="Calibri" w:hAnsi="Calibri"/>
        <w:szCs w:val="16"/>
      </w:rPr>
      <w:t>t B- local applicants</w:t>
    </w:r>
    <w:r>
      <w:rPr>
        <w:rStyle w:val="PageNumber"/>
        <w:rFonts w:ascii="Calibri" w:hAnsi="Calibri"/>
        <w:sz w:val="20"/>
      </w:rPr>
      <w:t>-</w:t>
    </w:r>
    <w:r w:rsidRPr="00E1616A">
      <w:rPr>
        <w:rStyle w:val="PageNumber"/>
        <w:rFonts w:ascii="Calibri" w:hAnsi="Calibri"/>
        <w:sz w:val="20"/>
      </w:rPr>
      <w:t xml:space="preserve"> </w:t>
    </w:r>
    <w:r w:rsidRPr="00E1616A">
      <w:rPr>
        <w:rStyle w:val="PageNumber"/>
        <w:rFonts w:ascii="Calibri" w:hAnsi="Calibri"/>
        <w:sz w:val="20"/>
      </w:rPr>
      <w:fldChar w:fldCharType="begin"/>
    </w:r>
    <w:r w:rsidRPr="00E1616A">
      <w:rPr>
        <w:rStyle w:val="PageNumber"/>
        <w:rFonts w:ascii="Calibri" w:hAnsi="Calibri"/>
        <w:sz w:val="20"/>
      </w:rPr>
      <w:instrText xml:space="preserve"> PAGE </w:instrText>
    </w:r>
    <w:r w:rsidRPr="00E1616A">
      <w:rPr>
        <w:rStyle w:val="PageNumber"/>
        <w:rFonts w:ascii="Calibri" w:hAnsi="Calibri"/>
        <w:sz w:val="20"/>
      </w:rPr>
      <w:fldChar w:fldCharType="separate"/>
    </w:r>
    <w:r w:rsidR="00D429F7">
      <w:rPr>
        <w:rStyle w:val="PageNumber"/>
        <w:rFonts w:ascii="Calibri" w:hAnsi="Calibri"/>
        <w:noProof/>
        <w:sz w:val="20"/>
      </w:rPr>
      <w:t>1</w:t>
    </w:r>
    <w:r w:rsidRPr="00E1616A">
      <w:rPr>
        <w:rStyle w:val="PageNumber"/>
        <w:rFonts w:ascii="Calibri" w:hAnsi="Calibr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3F9"/>
    <w:multiLevelType w:val="hybridMultilevel"/>
    <w:tmpl w:val="04F8DE5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44B7C"/>
    <w:multiLevelType w:val="hybridMultilevel"/>
    <w:tmpl w:val="00507906"/>
    <w:lvl w:ilvl="0" w:tplc="D4B60908">
      <w:start w:val="1"/>
      <w:numFmt w:val="lowerRoman"/>
      <w:lvlText w:val="%1."/>
      <w:lvlJc w:val="right"/>
      <w:pPr>
        <w:tabs>
          <w:tab w:val="num" w:pos="1080"/>
        </w:tabs>
        <w:ind w:left="1080" w:hanging="180"/>
      </w:pPr>
      <w:rPr>
        <w:rFonts w:hint="default"/>
      </w:r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 w15:restartNumberingAfterBreak="0">
    <w:nsid w:val="0862450E"/>
    <w:multiLevelType w:val="hybridMultilevel"/>
    <w:tmpl w:val="B79C55CC"/>
    <w:lvl w:ilvl="0" w:tplc="47BE9E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DF4F3E"/>
    <w:multiLevelType w:val="hybridMultilevel"/>
    <w:tmpl w:val="7E8C6100"/>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08D32AC"/>
    <w:multiLevelType w:val="hybridMultilevel"/>
    <w:tmpl w:val="392E2140"/>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6C240BC"/>
    <w:multiLevelType w:val="hybridMultilevel"/>
    <w:tmpl w:val="5CDA6B4A"/>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7EC69A2"/>
    <w:multiLevelType w:val="hybridMultilevel"/>
    <w:tmpl w:val="6C52E1D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FD13C07"/>
    <w:multiLevelType w:val="hybridMultilevel"/>
    <w:tmpl w:val="3DB84600"/>
    <w:lvl w:ilvl="0" w:tplc="04090019">
      <w:start w:val="1"/>
      <w:numFmt w:val="lowerLetter"/>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8" w15:restartNumberingAfterBreak="0">
    <w:nsid w:val="26332332"/>
    <w:multiLevelType w:val="hybridMultilevel"/>
    <w:tmpl w:val="BAD6423A"/>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83820A1"/>
    <w:multiLevelType w:val="multilevel"/>
    <w:tmpl w:val="1A30F46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2BEC31D7"/>
    <w:multiLevelType w:val="hybridMultilevel"/>
    <w:tmpl w:val="70087ADC"/>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3E7C36"/>
    <w:multiLevelType w:val="hybridMultilevel"/>
    <w:tmpl w:val="2E2EE63A"/>
    <w:lvl w:ilvl="0" w:tplc="04090017">
      <w:start w:val="1"/>
      <w:numFmt w:val="lowerLetter"/>
      <w:lvlText w:val="%1)"/>
      <w:lvlJc w:val="left"/>
      <w:pPr>
        <w:tabs>
          <w:tab w:val="num" w:pos="1260"/>
        </w:tabs>
        <w:ind w:left="1260" w:hanging="360"/>
      </w:pPr>
    </w:lvl>
    <w:lvl w:ilvl="1" w:tplc="C68C60C0">
      <w:start w:val="1"/>
      <w:numFmt w:val="lowerRoman"/>
      <w:lvlText w:val="%2.)"/>
      <w:lvlJc w:val="left"/>
      <w:pPr>
        <w:tabs>
          <w:tab w:val="num" w:pos="2340"/>
        </w:tabs>
        <w:ind w:left="2340" w:hanging="720"/>
      </w:pPr>
      <w:rPr>
        <w:rFonts w:hint="default"/>
      </w:rPr>
    </w:lvl>
    <w:lvl w:ilvl="2" w:tplc="0284D34A">
      <w:start w:val="2"/>
      <w:numFmt w:val="lowerRoman"/>
      <w:lvlText w:val="%3."/>
      <w:lvlJc w:val="left"/>
      <w:pPr>
        <w:tabs>
          <w:tab w:val="num" w:pos="3240"/>
        </w:tabs>
        <w:ind w:left="3240" w:hanging="720"/>
      </w:pPr>
      <w:rPr>
        <w:rFonts w:hint="default"/>
      </w:r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12" w15:restartNumberingAfterBreak="0">
    <w:nsid w:val="2C45048B"/>
    <w:multiLevelType w:val="hybridMultilevel"/>
    <w:tmpl w:val="EB72F5C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543CF3"/>
    <w:multiLevelType w:val="hybridMultilevel"/>
    <w:tmpl w:val="F2BCD9B0"/>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08D3D15"/>
    <w:multiLevelType w:val="hybridMultilevel"/>
    <w:tmpl w:val="4464023A"/>
    <w:lvl w:ilvl="0" w:tplc="04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25810EE"/>
    <w:multiLevelType w:val="hybridMultilevel"/>
    <w:tmpl w:val="480ED504"/>
    <w:lvl w:ilvl="0" w:tplc="04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5DE4769"/>
    <w:multiLevelType w:val="hybridMultilevel"/>
    <w:tmpl w:val="B6660B3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BB5701"/>
    <w:multiLevelType w:val="hybridMultilevel"/>
    <w:tmpl w:val="33C0AE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D67D1"/>
    <w:multiLevelType w:val="multilevel"/>
    <w:tmpl w:val="04F8DE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8110A"/>
    <w:multiLevelType w:val="hybridMultilevel"/>
    <w:tmpl w:val="E514EF6A"/>
    <w:lvl w:ilvl="0" w:tplc="0409000F">
      <w:start w:val="1"/>
      <w:numFmt w:val="decimal"/>
      <w:lvlText w:val="%1."/>
      <w:lvlJc w:val="left"/>
      <w:pPr>
        <w:tabs>
          <w:tab w:val="num" w:pos="1260"/>
        </w:tabs>
        <w:ind w:left="1260" w:hanging="360"/>
      </w:pPr>
    </w:lvl>
    <w:lvl w:ilvl="1" w:tplc="0C090019" w:tentative="1">
      <w:start w:val="1"/>
      <w:numFmt w:val="lowerLetter"/>
      <w:lvlText w:val="%2."/>
      <w:lvlJc w:val="left"/>
      <w:pPr>
        <w:tabs>
          <w:tab w:val="num" w:pos="1980"/>
        </w:tabs>
        <w:ind w:left="1980" w:hanging="360"/>
      </w:p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0" w15:restartNumberingAfterBreak="0">
    <w:nsid w:val="4DD65216"/>
    <w:multiLevelType w:val="hybridMultilevel"/>
    <w:tmpl w:val="AE4E6642"/>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EA5687C"/>
    <w:multiLevelType w:val="hybridMultilevel"/>
    <w:tmpl w:val="40461588"/>
    <w:lvl w:ilvl="0" w:tplc="04090001">
      <w:start w:val="1"/>
      <w:numFmt w:val="bullet"/>
      <w:lvlText w:val=""/>
      <w:lvlJc w:val="left"/>
      <w:pPr>
        <w:tabs>
          <w:tab w:val="num" w:pos="1260"/>
        </w:tabs>
        <w:ind w:left="1260" w:hanging="360"/>
      </w:pPr>
      <w:rPr>
        <w:rFonts w:ascii="Symbol" w:hAnsi="Symbol"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22" w15:restartNumberingAfterBreak="0">
    <w:nsid w:val="4FBC1296"/>
    <w:multiLevelType w:val="hybridMultilevel"/>
    <w:tmpl w:val="58C28C18"/>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0D54C42"/>
    <w:multiLevelType w:val="hybridMultilevel"/>
    <w:tmpl w:val="B70822A6"/>
    <w:lvl w:ilvl="0" w:tplc="7F5A0504">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4" w15:restartNumberingAfterBreak="0">
    <w:nsid w:val="55316D9E"/>
    <w:multiLevelType w:val="hybridMultilevel"/>
    <w:tmpl w:val="16229EF2"/>
    <w:lvl w:ilvl="0" w:tplc="04090017">
      <w:start w:val="1"/>
      <w:numFmt w:val="lowerLetter"/>
      <w:lvlText w:val="%1)"/>
      <w:lvlJc w:val="left"/>
      <w:pPr>
        <w:tabs>
          <w:tab w:val="num" w:pos="1620"/>
        </w:tabs>
        <w:ind w:left="1620" w:hanging="360"/>
      </w:p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25" w15:restartNumberingAfterBreak="0">
    <w:nsid w:val="58200A73"/>
    <w:multiLevelType w:val="hybridMultilevel"/>
    <w:tmpl w:val="ED268480"/>
    <w:lvl w:ilvl="0" w:tplc="87AC5EF8">
      <w:start w:val="1"/>
      <w:numFmt w:val="decimal"/>
      <w:lvlText w:val="%1."/>
      <w:lvlJc w:val="left"/>
      <w:pPr>
        <w:tabs>
          <w:tab w:val="num" w:pos="1260"/>
        </w:tabs>
        <w:ind w:left="1260" w:hanging="360"/>
      </w:pPr>
      <w:rPr>
        <w:rFonts w:ascii="Verdana" w:eastAsia="Times New Roman" w:hAnsi="Verdana" w:cs="Times New Roman" w:hint="default"/>
      </w:rPr>
    </w:lvl>
    <w:lvl w:ilvl="1" w:tplc="1C9E58D2">
      <w:start w:val="2"/>
      <w:numFmt w:val="lowerLetter"/>
      <w:lvlText w:val="%2.)"/>
      <w:lvlJc w:val="left"/>
      <w:pPr>
        <w:tabs>
          <w:tab w:val="num" w:pos="1980"/>
        </w:tabs>
        <w:ind w:left="1980" w:hanging="360"/>
      </w:pPr>
      <w:rPr>
        <w:rFonts w:hint="default"/>
      </w:rPr>
    </w:lvl>
    <w:lvl w:ilvl="2" w:tplc="0C09001B" w:tentative="1">
      <w:start w:val="1"/>
      <w:numFmt w:val="lowerRoman"/>
      <w:lvlText w:val="%3."/>
      <w:lvlJc w:val="right"/>
      <w:pPr>
        <w:tabs>
          <w:tab w:val="num" w:pos="2700"/>
        </w:tabs>
        <w:ind w:left="2700" w:hanging="180"/>
      </w:pPr>
    </w:lvl>
    <w:lvl w:ilvl="3" w:tplc="0C09000F" w:tentative="1">
      <w:start w:val="1"/>
      <w:numFmt w:val="decimal"/>
      <w:lvlText w:val="%4."/>
      <w:lvlJc w:val="left"/>
      <w:pPr>
        <w:tabs>
          <w:tab w:val="num" w:pos="3420"/>
        </w:tabs>
        <w:ind w:left="3420" w:hanging="360"/>
      </w:pPr>
    </w:lvl>
    <w:lvl w:ilvl="4" w:tplc="0C090019" w:tentative="1">
      <w:start w:val="1"/>
      <w:numFmt w:val="lowerLetter"/>
      <w:lvlText w:val="%5."/>
      <w:lvlJc w:val="left"/>
      <w:pPr>
        <w:tabs>
          <w:tab w:val="num" w:pos="4140"/>
        </w:tabs>
        <w:ind w:left="4140" w:hanging="360"/>
      </w:pPr>
    </w:lvl>
    <w:lvl w:ilvl="5" w:tplc="0C09001B" w:tentative="1">
      <w:start w:val="1"/>
      <w:numFmt w:val="lowerRoman"/>
      <w:lvlText w:val="%6."/>
      <w:lvlJc w:val="right"/>
      <w:pPr>
        <w:tabs>
          <w:tab w:val="num" w:pos="4860"/>
        </w:tabs>
        <w:ind w:left="4860" w:hanging="180"/>
      </w:p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26" w15:restartNumberingAfterBreak="0">
    <w:nsid w:val="604F00A6"/>
    <w:multiLevelType w:val="hybridMultilevel"/>
    <w:tmpl w:val="FB42A5F4"/>
    <w:lvl w:ilvl="0" w:tplc="04090017">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7" w15:restartNumberingAfterBreak="0">
    <w:nsid w:val="610A0AA7"/>
    <w:multiLevelType w:val="hybridMultilevel"/>
    <w:tmpl w:val="D81AEAB8"/>
    <w:lvl w:ilvl="0" w:tplc="04090001">
      <w:start w:val="1"/>
      <w:numFmt w:val="bullet"/>
      <w:lvlText w:val=""/>
      <w:lvlJc w:val="left"/>
      <w:pPr>
        <w:tabs>
          <w:tab w:val="num" w:pos="1335"/>
        </w:tabs>
        <w:ind w:left="1335" w:hanging="360"/>
      </w:pPr>
      <w:rPr>
        <w:rFonts w:ascii="Symbol" w:hAnsi="Symbol" w:hint="default"/>
      </w:rPr>
    </w:lvl>
    <w:lvl w:ilvl="1" w:tplc="0C090003" w:tentative="1">
      <w:start w:val="1"/>
      <w:numFmt w:val="bullet"/>
      <w:lvlText w:val="o"/>
      <w:lvlJc w:val="left"/>
      <w:pPr>
        <w:tabs>
          <w:tab w:val="num" w:pos="2055"/>
        </w:tabs>
        <w:ind w:left="2055" w:hanging="360"/>
      </w:pPr>
      <w:rPr>
        <w:rFonts w:ascii="Courier New" w:hAnsi="Courier New" w:cs="Courier New" w:hint="default"/>
      </w:rPr>
    </w:lvl>
    <w:lvl w:ilvl="2" w:tplc="0C090005" w:tentative="1">
      <w:start w:val="1"/>
      <w:numFmt w:val="bullet"/>
      <w:lvlText w:val=""/>
      <w:lvlJc w:val="left"/>
      <w:pPr>
        <w:tabs>
          <w:tab w:val="num" w:pos="2775"/>
        </w:tabs>
        <w:ind w:left="2775" w:hanging="360"/>
      </w:pPr>
      <w:rPr>
        <w:rFonts w:ascii="Wingdings" w:hAnsi="Wingdings" w:hint="default"/>
      </w:rPr>
    </w:lvl>
    <w:lvl w:ilvl="3" w:tplc="0C090001" w:tentative="1">
      <w:start w:val="1"/>
      <w:numFmt w:val="bullet"/>
      <w:lvlText w:val=""/>
      <w:lvlJc w:val="left"/>
      <w:pPr>
        <w:tabs>
          <w:tab w:val="num" w:pos="3495"/>
        </w:tabs>
        <w:ind w:left="3495" w:hanging="360"/>
      </w:pPr>
      <w:rPr>
        <w:rFonts w:ascii="Symbol" w:hAnsi="Symbol" w:hint="default"/>
      </w:rPr>
    </w:lvl>
    <w:lvl w:ilvl="4" w:tplc="0C090003" w:tentative="1">
      <w:start w:val="1"/>
      <w:numFmt w:val="bullet"/>
      <w:lvlText w:val="o"/>
      <w:lvlJc w:val="left"/>
      <w:pPr>
        <w:tabs>
          <w:tab w:val="num" w:pos="4215"/>
        </w:tabs>
        <w:ind w:left="4215" w:hanging="360"/>
      </w:pPr>
      <w:rPr>
        <w:rFonts w:ascii="Courier New" w:hAnsi="Courier New" w:cs="Courier New" w:hint="default"/>
      </w:rPr>
    </w:lvl>
    <w:lvl w:ilvl="5" w:tplc="0C090005" w:tentative="1">
      <w:start w:val="1"/>
      <w:numFmt w:val="bullet"/>
      <w:lvlText w:val=""/>
      <w:lvlJc w:val="left"/>
      <w:pPr>
        <w:tabs>
          <w:tab w:val="num" w:pos="4935"/>
        </w:tabs>
        <w:ind w:left="4935" w:hanging="360"/>
      </w:pPr>
      <w:rPr>
        <w:rFonts w:ascii="Wingdings" w:hAnsi="Wingdings" w:hint="default"/>
      </w:rPr>
    </w:lvl>
    <w:lvl w:ilvl="6" w:tplc="0C090001" w:tentative="1">
      <w:start w:val="1"/>
      <w:numFmt w:val="bullet"/>
      <w:lvlText w:val=""/>
      <w:lvlJc w:val="left"/>
      <w:pPr>
        <w:tabs>
          <w:tab w:val="num" w:pos="5655"/>
        </w:tabs>
        <w:ind w:left="5655" w:hanging="360"/>
      </w:pPr>
      <w:rPr>
        <w:rFonts w:ascii="Symbol" w:hAnsi="Symbol" w:hint="default"/>
      </w:rPr>
    </w:lvl>
    <w:lvl w:ilvl="7" w:tplc="0C090003" w:tentative="1">
      <w:start w:val="1"/>
      <w:numFmt w:val="bullet"/>
      <w:lvlText w:val="o"/>
      <w:lvlJc w:val="left"/>
      <w:pPr>
        <w:tabs>
          <w:tab w:val="num" w:pos="6375"/>
        </w:tabs>
        <w:ind w:left="6375" w:hanging="360"/>
      </w:pPr>
      <w:rPr>
        <w:rFonts w:ascii="Courier New" w:hAnsi="Courier New" w:cs="Courier New" w:hint="default"/>
      </w:rPr>
    </w:lvl>
    <w:lvl w:ilvl="8" w:tplc="0C090005" w:tentative="1">
      <w:start w:val="1"/>
      <w:numFmt w:val="bullet"/>
      <w:lvlText w:val=""/>
      <w:lvlJc w:val="left"/>
      <w:pPr>
        <w:tabs>
          <w:tab w:val="num" w:pos="7095"/>
        </w:tabs>
        <w:ind w:left="7095" w:hanging="360"/>
      </w:pPr>
      <w:rPr>
        <w:rFonts w:ascii="Wingdings" w:hAnsi="Wingdings" w:hint="default"/>
      </w:rPr>
    </w:lvl>
  </w:abstractNum>
  <w:abstractNum w:abstractNumId="28" w15:restartNumberingAfterBreak="0">
    <w:nsid w:val="63423124"/>
    <w:multiLevelType w:val="hybridMultilevel"/>
    <w:tmpl w:val="C85E47C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F56310"/>
    <w:multiLevelType w:val="hybridMultilevel"/>
    <w:tmpl w:val="4734EC9A"/>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8F30B1F"/>
    <w:multiLevelType w:val="hybridMultilevel"/>
    <w:tmpl w:val="CEC867B2"/>
    <w:lvl w:ilvl="0" w:tplc="04090001">
      <w:start w:val="1"/>
      <w:numFmt w:val="bullet"/>
      <w:lvlText w:val=""/>
      <w:lvlJc w:val="left"/>
      <w:pPr>
        <w:tabs>
          <w:tab w:val="num" w:pos="540"/>
        </w:tabs>
        <w:ind w:left="54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117011"/>
    <w:multiLevelType w:val="hybridMultilevel"/>
    <w:tmpl w:val="FA0060CE"/>
    <w:lvl w:ilvl="0" w:tplc="04090001">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69356DC6"/>
    <w:multiLevelType w:val="hybridMultilevel"/>
    <w:tmpl w:val="587602D4"/>
    <w:lvl w:ilvl="0" w:tplc="FECEA8E8">
      <w:start w:val="1"/>
      <w:numFmt w:val="decimal"/>
      <w:lvlText w:val="%1.)"/>
      <w:lvlJc w:val="left"/>
      <w:pPr>
        <w:tabs>
          <w:tab w:val="num" w:pos="1560"/>
        </w:tabs>
        <w:ind w:left="1560" w:hanging="102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33" w15:restartNumberingAfterBreak="0">
    <w:nsid w:val="70694D2C"/>
    <w:multiLevelType w:val="hybridMultilevel"/>
    <w:tmpl w:val="CCAECF8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0A32D0"/>
    <w:multiLevelType w:val="hybridMultilevel"/>
    <w:tmpl w:val="29CE3D78"/>
    <w:lvl w:ilvl="0" w:tplc="04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667274D"/>
    <w:multiLevelType w:val="hybridMultilevel"/>
    <w:tmpl w:val="E49A6F7C"/>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7A54D7B"/>
    <w:multiLevelType w:val="hybridMultilevel"/>
    <w:tmpl w:val="7E7A6AAE"/>
    <w:lvl w:ilvl="0" w:tplc="D4B60908">
      <w:start w:val="1"/>
      <w:numFmt w:val="lowerRoman"/>
      <w:lvlText w:val="%1."/>
      <w:lvlJc w:val="right"/>
      <w:pPr>
        <w:tabs>
          <w:tab w:val="num" w:pos="540"/>
        </w:tabs>
        <w:ind w:left="540" w:hanging="18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7AB200C"/>
    <w:multiLevelType w:val="hybridMultilevel"/>
    <w:tmpl w:val="364A4590"/>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035434"/>
    <w:multiLevelType w:val="hybridMultilevel"/>
    <w:tmpl w:val="DB26FFCE"/>
    <w:lvl w:ilvl="0" w:tplc="0409000F">
      <w:start w:val="1"/>
      <w:numFmt w:val="decimal"/>
      <w:lvlText w:val="%1."/>
      <w:lvlJc w:val="left"/>
      <w:pPr>
        <w:tabs>
          <w:tab w:val="num" w:pos="720"/>
        </w:tabs>
        <w:ind w:left="720" w:hanging="360"/>
      </w:pPr>
    </w:lvl>
    <w:lvl w:ilvl="1" w:tplc="1E10ADFC">
      <w:start w:val="1"/>
      <w:numFmt w:val="decimal"/>
      <w:lvlText w:val="%2.)"/>
      <w:lvlJc w:val="left"/>
      <w:pPr>
        <w:tabs>
          <w:tab w:val="num" w:pos="1545"/>
        </w:tabs>
        <w:ind w:left="1545" w:hanging="465"/>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7F1E7ACD"/>
    <w:multiLevelType w:val="multilevel"/>
    <w:tmpl w:val="587602D4"/>
    <w:lvl w:ilvl="0">
      <w:start w:val="1"/>
      <w:numFmt w:val="decimal"/>
      <w:lvlText w:val="%1.)"/>
      <w:lvlJc w:val="left"/>
      <w:pPr>
        <w:tabs>
          <w:tab w:val="num" w:pos="1560"/>
        </w:tabs>
        <w:ind w:left="1560" w:hanging="102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num w:numId="1">
    <w:abstractNumId w:val="12"/>
  </w:num>
  <w:num w:numId="2">
    <w:abstractNumId w:val="28"/>
  </w:num>
  <w:num w:numId="3">
    <w:abstractNumId w:val="10"/>
  </w:num>
  <w:num w:numId="4">
    <w:abstractNumId w:val="7"/>
  </w:num>
  <w:num w:numId="5">
    <w:abstractNumId w:val="38"/>
  </w:num>
  <w:num w:numId="6">
    <w:abstractNumId w:val="25"/>
  </w:num>
  <w:num w:numId="7">
    <w:abstractNumId w:val="24"/>
  </w:num>
  <w:num w:numId="8">
    <w:abstractNumId w:val="22"/>
  </w:num>
  <w:num w:numId="9">
    <w:abstractNumId w:val="23"/>
  </w:num>
  <w:num w:numId="10">
    <w:abstractNumId w:val="14"/>
  </w:num>
  <w:num w:numId="11">
    <w:abstractNumId w:val="32"/>
  </w:num>
  <w:num w:numId="12">
    <w:abstractNumId w:val="26"/>
  </w:num>
  <w:num w:numId="13">
    <w:abstractNumId w:val="11"/>
  </w:num>
  <w:num w:numId="14">
    <w:abstractNumId w:val="4"/>
  </w:num>
  <w:num w:numId="15">
    <w:abstractNumId w:val="29"/>
  </w:num>
  <w:num w:numId="16">
    <w:abstractNumId w:val="3"/>
  </w:num>
  <w:num w:numId="17">
    <w:abstractNumId w:val="30"/>
  </w:num>
  <w:num w:numId="18">
    <w:abstractNumId w:val="5"/>
  </w:num>
  <w:num w:numId="19">
    <w:abstractNumId w:val="27"/>
  </w:num>
  <w:num w:numId="20">
    <w:abstractNumId w:val="13"/>
  </w:num>
  <w:num w:numId="21">
    <w:abstractNumId w:val="8"/>
  </w:num>
  <w:num w:numId="22">
    <w:abstractNumId w:val="6"/>
  </w:num>
  <w:num w:numId="23">
    <w:abstractNumId w:val="16"/>
  </w:num>
  <w:num w:numId="24">
    <w:abstractNumId w:val="15"/>
  </w:num>
  <w:num w:numId="25">
    <w:abstractNumId w:val="34"/>
  </w:num>
  <w:num w:numId="26">
    <w:abstractNumId w:val="1"/>
  </w:num>
  <w:num w:numId="27">
    <w:abstractNumId w:val="19"/>
  </w:num>
  <w:num w:numId="28">
    <w:abstractNumId w:val="31"/>
  </w:num>
  <w:num w:numId="29">
    <w:abstractNumId w:val="35"/>
  </w:num>
  <w:num w:numId="30">
    <w:abstractNumId w:val="17"/>
  </w:num>
  <w:num w:numId="31">
    <w:abstractNumId w:val="20"/>
  </w:num>
  <w:num w:numId="32">
    <w:abstractNumId w:val="33"/>
  </w:num>
  <w:num w:numId="33">
    <w:abstractNumId w:val="37"/>
  </w:num>
  <w:num w:numId="34">
    <w:abstractNumId w:val="39"/>
  </w:num>
  <w:num w:numId="35">
    <w:abstractNumId w:val="21"/>
  </w:num>
  <w:num w:numId="36">
    <w:abstractNumId w:val="0"/>
  </w:num>
  <w:num w:numId="37">
    <w:abstractNumId w:val="18"/>
  </w:num>
  <w:num w:numId="38">
    <w:abstractNumId w:val="36"/>
  </w:num>
  <w:num w:numId="39">
    <w:abstractNumId w:val="9"/>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9B"/>
    <w:rsid w:val="0000349D"/>
    <w:rsid w:val="000046F1"/>
    <w:rsid w:val="00004B80"/>
    <w:rsid w:val="00005944"/>
    <w:rsid w:val="000077F2"/>
    <w:rsid w:val="00010F9A"/>
    <w:rsid w:val="00015FA8"/>
    <w:rsid w:val="000168C9"/>
    <w:rsid w:val="00017251"/>
    <w:rsid w:val="000203E5"/>
    <w:rsid w:val="00020B78"/>
    <w:rsid w:val="00027197"/>
    <w:rsid w:val="00027757"/>
    <w:rsid w:val="000319E9"/>
    <w:rsid w:val="00031D28"/>
    <w:rsid w:val="00034088"/>
    <w:rsid w:val="00036C13"/>
    <w:rsid w:val="00040A7D"/>
    <w:rsid w:val="000428FB"/>
    <w:rsid w:val="0004320A"/>
    <w:rsid w:val="00066A45"/>
    <w:rsid w:val="00070289"/>
    <w:rsid w:val="00071376"/>
    <w:rsid w:val="00072A73"/>
    <w:rsid w:val="00073823"/>
    <w:rsid w:val="00075C67"/>
    <w:rsid w:val="00076579"/>
    <w:rsid w:val="000843B0"/>
    <w:rsid w:val="000853B4"/>
    <w:rsid w:val="0008788E"/>
    <w:rsid w:val="0009289B"/>
    <w:rsid w:val="00092A60"/>
    <w:rsid w:val="00093E9C"/>
    <w:rsid w:val="00094A6E"/>
    <w:rsid w:val="00094E50"/>
    <w:rsid w:val="000A1C42"/>
    <w:rsid w:val="000A2FE1"/>
    <w:rsid w:val="000A5A3C"/>
    <w:rsid w:val="000B0651"/>
    <w:rsid w:val="000B1DA8"/>
    <w:rsid w:val="000B2BF8"/>
    <w:rsid w:val="000D16BF"/>
    <w:rsid w:val="000D4883"/>
    <w:rsid w:val="000E1CDB"/>
    <w:rsid w:val="000E5AA3"/>
    <w:rsid w:val="000F18DB"/>
    <w:rsid w:val="000F287E"/>
    <w:rsid w:val="000F2C49"/>
    <w:rsid w:val="00100182"/>
    <w:rsid w:val="001043F9"/>
    <w:rsid w:val="00105954"/>
    <w:rsid w:val="00107BDB"/>
    <w:rsid w:val="00111BA1"/>
    <w:rsid w:val="001148A5"/>
    <w:rsid w:val="001156E6"/>
    <w:rsid w:val="0012568F"/>
    <w:rsid w:val="001269EE"/>
    <w:rsid w:val="0013150A"/>
    <w:rsid w:val="001343F3"/>
    <w:rsid w:val="00140961"/>
    <w:rsid w:val="001429A9"/>
    <w:rsid w:val="00143477"/>
    <w:rsid w:val="00143E13"/>
    <w:rsid w:val="00144093"/>
    <w:rsid w:val="001527DD"/>
    <w:rsid w:val="001559B2"/>
    <w:rsid w:val="00156946"/>
    <w:rsid w:val="00162066"/>
    <w:rsid w:val="001626C4"/>
    <w:rsid w:val="001629DE"/>
    <w:rsid w:val="001643A8"/>
    <w:rsid w:val="00166D3D"/>
    <w:rsid w:val="001676DC"/>
    <w:rsid w:val="00167D17"/>
    <w:rsid w:val="001709C4"/>
    <w:rsid w:val="00173163"/>
    <w:rsid w:val="001740AA"/>
    <w:rsid w:val="00174922"/>
    <w:rsid w:val="001758B2"/>
    <w:rsid w:val="001777D4"/>
    <w:rsid w:val="00180ECC"/>
    <w:rsid w:val="001846AE"/>
    <w:rsid w:val="0018561D"/>
    <w:rsid w:val="00186D75"/>
    <w:rsid w:val="00190AD3"/>
    <w:rsid w:val="0019577C"/>
    <w:rsid w:val="001A401B"/>
    <w:rsid w:val="001B69BC"/>
    <w:rsid w:val="001D00D5"/>
    <w:rsid w:val="001D39F6"/>
    <w:rsid w:val="001D5E4B"/>
    <w:rsid w:val="001D63A6"/>
    <w:rsid w:val="001E0F7B"/>
    <w:rsid w:val="001E51C2"/>
    <w:rsid w:val="001E7085"/>
    <w:rsid w:val="001F0B60"/>
    <w:rsid w:val="001F36AE"/>
    <w:rsid w:val="00201FC6"/>
    <w:rsid w:val="002059BC"/>
    <w:rsid w:val="00212349"/>
    <w:rsid w:val="0021390D"/>
    <w:rsid w:val="00214476"/>
    <w:rsid w:val="00215D26"/>
    <w:rsid w:val="00217822"/>
    <w:rsid w:val="00217F33"/>
    <w:rsid w:val="00220916"/>
    <w:rsid w:val="00230F5F"/>
    <w:rsid w:val="00234999"/>
    <w:rsid w:val="0023732A"/>
    <w:rsid w:val="00244372"/>
    <w:rsid w:val="0025671A"/>
    <w:rsid w:val="00263008"/>
    <w:rsid w:val="00267560"/>
    <w:rsid w:val="00267EC5"/>
    <w:rsid w:val="00270847"/>
    <w:rsid w:val="00272ED2"/>
    <w:rsid w:val="00273FF9"/>
    <w:rsid w:val="00274DCB"/>
    <w:rsid w:val="00280168"/>
    <w:rsid w:val="00283C06"/>
    <w:rsid w:val="0029228E"/>
    <w:rsid w:val="00294AA4"/>
    <w:rsid w:val="002A5793"/>
    <w:rsid w:val="002A6FBE"/>
    <w:rsid w:val="002B0B21"/>
    <w:rsid w:val="002B31B4"/>
    <w:rsid w:val="002B5015"/>
    <w:rsid w:val="002B5881"/>
    <w:rsid w:val="002C2205"/>
    <w:rsid w:val="002C2566"/>
    <w:rsid w:val="002C42C3"/>
    <w:rsid w:val="002C56D1"/>
    <w:rsid w:val="002C73A7"/>
    <w:rsid w:val="002C7F17"/>
    <w:rsid w:val="002D0418"/>
    <w:rsid w:val="002D3FCB"/>
    <w:rsid w:val="002D668A"/>
    <w:rsid w:val="002D71BB"/>
    <w:rsid w:val="002E0B3A"/>
    <w:rsid w:val="002F33D8"/>
    <w:rsid w:val="002F388B"/>
    <w:rsid w:val="002F5272"/>
    <w:rsid w:val="00301F54"/>
    <w:rsid w:val="00302D6E"/>
    <w:rsid w:val="003056AD"/>
    <w:rsid w:val="00306249"/>
    <w:rsid w:val="003100F6"/>
    <w:rsid w:val="00311F5E"/>
    <w:rsid w:val="00313723"/>
    <w:rsid w:val="003137FD"/>
    <w:rsid w:val="003148F1"/>
    <w:rsid w:val="003154B0"/>
    <w:rsid w:val="00315EDE"/>
    <w:rsid w:val="00316083"/>
    <w:rsid w:val="0031638E"/>
    <w:rsid w:val="00320276"/>
    <w:rsid w:val="00323D84"/>
    <w:rsid w:val="00327C0F"/>
    <w:rsid w:val="00330F6C"/>
    <w:rsid w:val="00331A8C"/>
    <w:rsid w:val="00334388"/>
    <w:rsid w:val="00334A5D"/>
    <w:rsid w:val="00334B8E"/>
    <w:rsid w:val="0033501C"/>
    <w:rsid w:val="003355C9"/>
    <w:rsid w:val="003362F5"/>
    <w:rsid w:val="00336857"/>
    <w:rsid w:val="00336862"/>
    <w:rsid w:val="00337415"/>
    <w:rsid w:val="0034411F"/>
    <w:rsid w:val="00346829"/>
    <w:rsid w:val="00350292"/>
    <w:rsid w:val="00354D5D"/>
    <w:rsid w:val="003563E0"/>
    <w:rsid w:val="003630E5"/>
    <w:rsid w:val="00364865"/>
    <w:rsid w:val="00364CCD"/>
    <w:rsid w:val="0036515B"/>
    <w:rsid w:val="0036546D"/>
    <w:rsid w:val="00365477"/>
    <w:rsid w:val="00365947"/>
    <w:rsid w:val="0036721E"/>
    <w:rsid w:val="0037250D"/>
    <w:rsid w:val="003729CC"/>
    <w:rsid w:val="00374BF9"/>
    <w:rsid w:val="003765CE"/>
    <w:rsid w:val="0037670B"/>
    <w:rsid w:val="00381616"/>
    <w:rsid w:val="0038327D"/>
    <w:rsid w:val="00383E2A"/>
    <w:rsid w:val="00385CCB"/>
    <w:rsid w:val="00387214"/>
    <w:rsid w:val="0039166E"/>
    <w:rsid w:val="00393B32"/>
    <w:rsid w:val="00396EA8"/>
    <w:rsid w:val="003A206B"/>
    <w:rsid w:val="003A26B3"/>
    <w:rsid w:val="003A5666"/>
    <w:rsid w:val="003A63E2"/>
    <w:rsid w:val="003B4FDA"/>
    <w:rsid w:val="003D1BFC"/>
    <w:rsid w:val="003D4AA2"/>
    <w:rsid w:val="003E036D"/>
    <w:rsid w:val="003E3D02"/>
    <w:rsid w:val="003E7465"/>
    <w:rsid w:val="003E7C40"/>
    <w:rsid w:val="003F11B9"/>
    <w:rsid w:val="003F12F3"/>
    <w:rsid w:val="003F2718"/>
    <w:rsid w:val="003F2DFA"/>
    <w:rsid w:val="003F3DD9"/>
    <w:rsid w:val="003F5A62"/>
    <w:rsid w:val="004035F9"/>
    <w:rsid w:val="004054E6"/>
    <w:rsid w:val="00407341"/>
    <w:rsid w:val="0041171F"/>
    <w:rsid w:val="00411C23"/>
    <w:rsid w:val="004124FF"/>
    <w:rsid w:val="00412A49"/>
    <w:rsid w:val="004160B4"/>
    <w:rsid w:val="00417F46"/>
    <w:rsid w:val="00422143"/>
    <w:rsid w:val="004239BE"/>
    <w:rsid w:val="00423D3E"/>
    <w:rsid w:val="00424944"/>
    <w:rsid w:val="00430019"/>
    <w:rsid w:val="004312BE"/>
    <w:rsid w:val="00435309"/>
    <w:rsid w:val="00436551"/>
    <w:rsid w:val="004405B5"/>
    <w:rsid w:val="00450E95"/>
    <w:rsid w:val="0045106D"/>
    <w:rsid w:val="004523FB"/>
    <w:rsid w:val="00460B52"/>
    <w:rsid w:val="00462236"/>
    <w:rsid w:val="00471278"/>
    <w:rsid w:val="00471C1C"/>
    <w:rsid w:val="004729AE"/>
    <w:rsid w:val="00475361"/>
    <w:rsid w:val="0047553E"/>
    <w:rsid w:val="004806AB"/>
    <w:rsid w:val="00491D22"/>
    <w:rsid w:val="00492BEE"/>
    <w:rsid w:val="004960EB"/>
    <w:rsid w:val="00497DEC"/>
    <w:rsid w:val="004A0ABB"/>
    <w:rsid w:val="004A3112"/>
    <w:rsid w:val="004A3C1D"/>
    <w:rsid w:val="004A4DC3"/>
    <w:rsid w:val="004A5775"/>
    <w:rsid w:val="004C298E"/>
    <w:rsid w:val="004D33E5"/>
    <w:rsid w:val="004D3D53"/>
    <w:rsid w:val="004D6D56"/>
    <w:rsid w:val="004D7A23"/>
    <w:rsid w:val="004E4F5A"/>
    <w:rsid w:val="004F2DBC"/>
    <w:rsid w:val="004F7EE0"/>
    <w:rsid w:val="00504D83"/>
    <w:rsid w:val="00506781"/>
    <w:rsid w:val="00506E45"/>
    <w:rsid w:val="005074DA"/>
    <w:rsid w:val="00511AF7"/>
    <w:rsid w:val="00512C81"/>
    <w:rsid w:val="00513CF0"/>
    <w:rsid w:val="00521364"/>
    <w:rsid w:val="00524E2E"/>
    <w:rsid w:val="005316E9"/>
    <w:rsid w:val="00533AD0"/>
    <w:rsid w:val="0054003A"/>
    <w:rsid w:val="005447F1"/>
    <w:rsid w:val="005518D0"/>
    <w:rsid w:val="00564E0F"/>
    <w:rsid w:val="00566912"/>
    <w:rsid w:val="0056729D"/>
    <w:rsid w:val="00570967"/>
    <w:rsid w:val="00572EFB"/>
    <w:rsid w:val="00573AA2"/>
    <w:rsid w:val="005762FE"/>
    <w:rsid w:val="00576D7E"/>
    <w:rsid w:val="00580BDD"/>
    <w:rsid w:val="00581364"/>
    <w:rsid w:val="00587EFE"/>
    <w:rsid w:val="00591E36"/>
    <w:rsid w:val="005957DE"/>
    <w:rsid w:val="00595F2D"/>
    <w:rsid w:val="005A08E0"/>
    <w:rsid w:val="005A2A98"/>
    <w:rsid w:val="005A4BFA"/>
    <w:rsid w:val="005B01C5"/>
    <w:rsid w:val="005B1878"/>
    <w:rsid w:val="005B70DA"/>
    <w:rsid w:val="005C30BE"/>
    <w:rsid w:val="005C38F8"/>
    <w:rsid w:val="005C7A7B"/>
    <w:rsid w:val="005D005C"/>
    <w:rsid w:val="005D2F5E"/>
    <w:rsid w:val="005D6842"/>
    <w:rsid w:val="005E039A"/>
    <w:rsid w:val="005E22D0"/>
    <w:rsid w:val="005E7BEB"/>
    <w:rsid w:val="005F466D"/>
    <w:rsid w:val="005F496D"/>
    <w:rsid w:val="005F49E1"/>
    <w:rsid w:val="00601C54"/>
    <w:rsid w:val="006047AF"/>
    <w:rsid w:val="00610B57"/>
    <w:rsid w:val="00615A81"/>
    <w:rsid w:val="006166A4"/>
    <w:rsid w:val="0061721F"/>
    <w:rsid w:val="006202CD"/>
    <w:rsid w:val="006202CF"/>
    <w:rsid w:val="00621CCC"/>
    <w:rsid w:val="00631AAF"/>
    <w:rsid w:val="00637FE4"/>
    <w:rsid w:val="00642811"/>
    <w:rsid w:val="0064363D"/>
    <w:rsid w:val="006445A6"/>
    <w:rsid w:val="00654B04"/>
    <w:rsid w:val="006575F1"/>
    <w:rsid w:val="0066095E"/>
    <w:rsid w:val="00660FE0"/>
    <w:rsid w:val="00661405"/>
    <w:rsid w:val="00663C55"/>
    <w:rsid w:val="006651F1"/>
    <w:rsid w:val="00667163"/>
    <w:rsid w:val="006675A1"/>
    <w:rsid w:val="00667FD2"/>
    <w:rsid w:val="006752BF"/>
    <w:rsid w:val="0067715C"/>
    <w:rsid w:val="0068076E"/>
    <w:rsid w:val="006809ED"/>
    <w:rsid w:val="00680B91"/>
    <w:rsid w:val="00685B14"/>
    <w:rsid w:val="00697044"/>
    <w:rsid w:val="006A0EC3"/>
    <w:rsid w:val="006B1CCC"/>
    <w:rsid w:val="006B41A3"/>
    <w:rsid w:val="006C042B"/>
    <w:rsid w:val="006C7CE3"/>
    <w:rsid w:val="006D1C6B"/>
    <w:rsid w:val="006D1DB3"/>
    <w:rsid w:val="006D5DD0"/>
    <w:rsid w:val="006D74CF"/>
    <w:rsid w:val="006E0507"/>
    <w:rsid w:val="006E3BFA"/>
    <w:rsid w:val="006E4E57"/>
    <w:rsid w:val="006E58C5"/>
    <w:rsid w:val="006F2007"/>
    <w:rsid w:val="006F7F94"/>
    <w:rsid w:val="007005A4"/>
    <w:rsid w:val="007027EC"/>
    <w:rsid w:val="00703FF7"/>
    <w:rsid w:val="0070754D"/>
    <w:rsid w:val="00711547"/>
    <w:rsid w:val="00711F50"/>
    <w:rsid w:val="007179E4"/>
    <w:rsid w:val="00722584"/>
    <w:rsid w:val="00725FD9"/>
    <w:rsid w:val="0073186F"/>
    <w:rsid w:val="00731A70"/>
    <w:rsid w:val="0073289D"/>
    <w:rsid w:val="00733D73"/>
    <w:rsid w:val="0073589B"/>
    <w:rsid w:val="00737765"/>
    <w:rsid w:val="00742000"/>
    <w:rsid w:val="00747304"/>
    <w:rsid w:val="00752224"/>
    <w:rsid w:val="007534B7"/>
    <w:rsid w:val="00755C7E"/>
    <w:rsid w:val="00756D8B"/>
    <w:rsid w:val="007604FC"/>
    <w:rsid w:val="00762F45"/>
    <w:rsid w:val="00763859"/>
    <w:rsid w:val="007640A0"/>
    <w:rsid w:val="00764BB5"/>
    <w:rsid w:val="00765D37"/>
    <w:rsid w:val="00775834"/>
    <w:rsid w:val="0077633B"/>
    <w:rsid w:val="00777548"/>
    <w:rsid w:val="007801B5"/>
    <w:rsid w:val="007837A0"/>
    <w:rsid w:val="007838AD"/>
    <w:rsid w:val="00786C29"/>
    <w:rsid w:val="007927BD"/>
    <w:rsid w:val="00793194"/>
    <w:rsid w:val="0079414D"/>
    <w:rsid w:val="00795F0E"/>
    <w:rsid w:val="007961BD"/>
    <w:rsid w:val="0079658D"/>
    <w:rsid w:val="00796A00"/>
    <w:rsid w:val="007A2AC4"/>
    <w:rsid w:val="007A5757"/>
    <w:rsid w:val="007A73E0"/>
    <w:rsid w:val="007C03A8"/>
    <w:rsid w:val="007C10DA"/>
    <w:rsid w:val="007C11BA"/>
    <w:rsid w:val="007C3205"/>
    <w:rsid w:val="007C45B2"/>
    <w:rsid w:val="007C5F9B"/>
    <w:rsid w:val="007C7C08"/>
    <w:rsid w:val="007D3F95"/>
    <w:rsid w:val="007E4347"/>
    <w:rsid w:val="007E499A"/>
    <w:rsid w:val="007E774D"/>
    <w:rsid w:val="007E7C1B"/>
    <w:rsid w:val="007F3900"/>
    <w:rsid w:val="007F5DC5"/>
    <w:rsid w:val="007F6842"/>
    <w:rsid w:val="007F7862"/>
    <w:rsid w:val="00800FF7"/>
    <w:rsid w:val="008065E6"/>
    <w:rsid w:val="00810A08"/>
    <w:rsid w:val="008145B7"/>
    <w:rsid w:val="0081504D"/>
    <w:rsid w:val="00817112"/>
    <w:rsid w:val="00831C98"/>
    <w:rsid w:val="008326B9"/>
    <w:rsid w:val="008328C5"/>
    <w:rsid w:val="00833031"/>
    <w:rsid w:val="00841E97"/>
    <w:rsid w:val="00844A9F"/>
    <w:rsid w:val="0085560C"/>
    <w:rsid w:val="0086060B"/>
    <w:rsid w:val="0086748A"/>
    <w:rsid w:val="00874299"/>
    <w:rsid w:val="0087556B"/>
    <w:rsid w:val="00875AFE"/>
    <w:rsid w:val="00877FB3"/>
    <w:rsid w:val="0088037E"/>
    <w:rsid w:val="008811CD"/>
    <w:rsid w:val="00885ECA"/>
    <w:rsid w:val="00886DD5"/>
    <w:rsid w:val="00890B63"/>
    <w:rsid w:val="00891EBD"/>
    <w:rsid w:val="00896C9A"/>
    <w:rsid w:val="008975CF"/>
    <w:rsid w:val="008A061A"/>
    <w:rsid w:val="008A298D"/>
    <w:rsid w:val="008A6F58"/>
    <w:rsid w:val="008A71AF"/>
    <w:rsid w:val="008B0799"/>
    <w:rsid w:val="008B2E4E"/>
    <w:rsid w:val="008C291A"/>
    <w:rsid w:val="008C3B9C"/>
    <w:rsid w:val="008C4907"/>
    <w:rsid w:val="008C4AD8"/>
    <w:rsid w:val="008C4D83"/>
    <w:rsid w:val="008D26DB"/>
    <w:rsid w:val="008D48EA"/>
    <w:rsid w:val="008D620A"/>
    <w:rsid w:val="008E72A9"/>
    <w:rsid w:val="008F288A"/>
    <w:rsid w:val="008F33C2"/>
    <w:rsid w:val="008F47DE"/>
    <w:rsid w:val="008F5FD4"/>
    <w:rsid w:val="008F7B75"/>
    <w:rsid w:val="009073B8"/>
    <w:rsid w:val="00914866"/>
    <w:rsid w:val="00915BFA"/>
    <w:rsid w:val="00916AE3"/>
    <w:rsid w:val="00926774"/>
    <w:rsid w:val="009274F5"/>
    <w:rsid w:val="009332A9"/>
    <w:rsid w:val="00940279"/>
    <w:rsid w:val="00940CD4"/>
    <w:rsid w:val="00940F4B"/>
    <w:rsid w:val="00941378"/>
    <w:rsid w:val="009419C2"/>
    <w:rsid w:val="00944172"/>
    <w:rsid w:val="00944B82"/>
    <w:rsid w:val="00946935"/>
    <w:rsid w:val="00951E98"/>
    <w:rsid w:val="00956A91"/>
    <w:rsid w:val="00957659"/>
    <w:rsid w:val="00960B71"/>
    <w:rsid w:val="00961CF1"/>
    <w:rsid w:val="009624AB"/>
    <w:rsid w:val="009653AC"/>
    <w:rsid w:val="0096756A"/>
    <w:rsid w:val="00970540"/>
    <w:rsid w:val="0097429B"/>
    <w:rsid w:val="0097540F"/>
    <w:rsid w:val="00977235"/>
    <w:rsid w:val="009815F1"/>
    <w:rsid w:val="00981C4B"/>
    <w:rsid w:val="009821EC"/>
    <w:rsid w:val="009828EB"/>
    <w:rsid w:val="009848EF"/>
    <w:rsid w:val="00984AA7"/>
    <w:rsid w:val="00984E26"/>
    <w:rsid w:val="00987A95"/>
    <w:rsid w:val="0099148E"/>
    <w:rsid w:val="009936E5"/>
    <w:rsid w:val="00996BD1"/>
    <w:rsid w:val="009A0A06"/>
    <w:rsid w:val="009A199C"/>
    <w:rsid w:val="009A42FE"/>
    <w:rsid w:val="009B06A8"/>
    <w:rsid w:val="009B4CEB"/>
    <w:rsid w:val="009B5035"/>
    <w:rsid w:val="009B6CEC"/>
    <w:rsid w:val="009B7895"/>
    <w:rsid w:val="009C221E"/>
    <w:rsid w:val="009C49B3"/>
    <w:rsid w:val="009D2814"/>
    <w:rsid w:val="009D30CB"/>
    <w:rsid w:val="009D63F6"/>
    <w:rsid w:val="009E0F56"/>
    <w:rsid w:val="009E155C"/>
    <w:rsid w:val="009E2F4E"/>
    <w:rsid w:val="009E5FF1"/>
    <w:rsid w:val="009F3FFF"/>
    <w:rsid w:val="009F4927"/>
    <w:rsid w:val="009F55BC"/>
    <w:rsid w:val="009F72CB"/>
    <w:rsid w:val="009F784C"/>
    <w:rsid w:val="00A021DF"/>
    <w:rsid w:val="00A03C7F"/>
    <w:rsid w:val="00A071A0"/>
    <w:rsid w:val="00A11507"/>
    <w:rsid w:val="00A13377"/>
    <w:rsid w:val="00A252CA"/>
    <w:rsid w:val="00A26C80"/>
    <w:rsid w:val="00A27C0E"/>
    <w:rsid w:val="00A3133A"/>
    <w:rsid w:val="00A35603"/>
    <w:rsid w:val="00A35B75"/>
    <w:rsid w:val="00A36492"/>
    <w:rsid w:val="00A3728E"/>
    <w:rsid w:val="00A439C2"/>
    <w:rsid w:val="00A44670"/>
    <w:rsid w:val="00A5138B"/>
    <w:rsid w:val="00A52552"/>
    <w:rsid w:val="00A54531"/>
    <w:rsid w:val="00A545AC"/>
    <w:rsid w:val="00A60E9D"/>
    <w:rsid w:val="00A6161D"/>
    <w:rsid w:val="00A70FD5"/>
    <w:rsid w:val="00A7416B"/>
    <w:rsid w:val="00A757FC"/>
    <w:rsid w:val="00A764C3"/>
    <w:rsid w:val="00A77B6E"/>
    <w:rsid w:val="00A80C93"/>
    <w:rsid w:val="00A921D7"/>
    <w:rsid w:val="00A96230"/>
    <w:rsid w:val="00A97E37"/>
    <w:rsid w:val="00AA0BC8"/>
    <w:rsid w:val="00AA4139"/>
    <w:rsid w:val="00AA6D47"/>
    <w:rsid w:val="00AA7261"/>
    <w:rsid w:val="00AB4B92"/>
    <w:rsid w:val="00AB680F"/>
    <w:rsid w:val="00AC0064"/>
    <w:rsid w:val="00AC557A"/>
    <w:rsid w:val="00AD1E51"/>
    <w:rsid w:val="00AD6188"/>
    <w:rsid w:val="00AD6EB0"/>
    <w:rsid w:val="00AE180D"/>
    <w:rsid w:val="00AE36E2"/>
    <w:rsid w:val="00AE4DC3"/>
    <w:rsid w:val="00AE50E5"/>
    <w:rsid w:val="00AF2608"/>
    <w:rsid w:val="00AF506C"/>
    <w:rsid w:val="00AF53B8"/>
    <w:rsid w:val="00AF54C7"/>
    <w:rsid w:val="00AF7557"/>
    <w:rsid w:val="00B072D3"/>
    <w:rsid w:val="00B0737C"/>
    <w:rsid w:val="00B23CB8"/>
    <w:rsid w:val="00B25ABD"/>
    <w:rsid w:val="00B32D75"/>
    <w:rsid w:val="00B343BF"/>
    <w:rsid w:val="00B3776A"/>
    <w:rsid w:val="00B37F4C"/>
    <w:rsid w:val="00B404BA"/>
    <w:rsid w:val="00B4164C"/>
    <w:rsid w:val="00B41FA8"/>
    <w:rsid w:val="00B42578"/>
    <w:rsid w:val="00B47216"/>
    <w:rsid w:val="00B47B1C"/>
    <w:rsid w:val="00B47F78"/>
    <w:rsid w:val="00B53374"/>
    <w:rsid w:val="00B630FC"/>
    <w:rsid w:val="00B6372C"/>
    <w:rsid w:val="00B7290A"/>
    <w:rsid w:val="00B73307"/>
    <w:rsid w:val="00B74116"/>
    <w:rsid w:val="00B778F5"/>
    <w:rsid w:val="00B838F0"/>
    <w:rsid w:val="00B876C5"/>
    <w:rsid w:val="00B920D1"/>
    <w:rsid w:val="00B957F2"/>
    <w:rsid w:val="00B95AF0"/>
    <w:rsid w:val="00BA1602"/>
    <w:rsid w:val="00BA2359"/>
    <w:rsid w:val="00BA23B4"/>
    <w:rsid w:val="00BA2FD6"/>
    <w:rsid w:val="00BC3D2E"/>
    <w:rsid w:val="00BD7295"/>
    <w:rsid w:val="00BE0698"/>
    <w:rsid w:val="00BE084F"/>
    <w:rsid w:val="00BE4F3B"/>
    <w:rsid w:val="00C01977"/>
    <w:rsid w:val="00C0350F"/>
    <w:rsid w:val="00C05A1A"/>
    <w:rsid w:val="00C062F1"/>
    <w:rsid w:val="00C0728F"/>
    <w:rsid w:val="00C16BDA"/>
    <w:rsid w:val="00C23B83"/>
    <w:rsid w:val="00C41D94"/>
    <w:rsid w:val="00C43B9F"/>
    <w:rsid w:val="00C45817"/>
    <w:rsid w:val="00C5477A"/>
    <w:rsid w:val="00C56CAB"/>
    <w:rsid w:val="00C603E6"/>
    <w:rsid w:val="00C60A66"/>
    <w:rsid w:val="00C6444D"/>
    <w:rsid w:val="00C67DB3"/>
    <w:rsid w:val="00C70F20"/>
    <w:rsid w:val="00C7495C"/>
    <w:rsid w:val="00C75D63"/>
    <w:rsid w:val="00C76286"/>
    <w:rsid w:val="00C80954"/>
    <w:rsid w:val="00C81528"/>
    <w:rsid w:val="00C836F8"/>
    <w:rsid w:val="00C85036"/>
    <w:rsid w:val="00C8555D"/>
    <w:rsid w:val="00C87A43"/>
    <w:rsid w:val="00C87D4E"/>
    <w:rsid w:val="00C922DB"/>
    <w:rsid w:val="00C93194"/>
    <w:rsid w:val="00C95AE7"/>
    <w:rsid w:val="00C97F68"/>
    <w:rsid w:val="00CA253C"/>
    <w:rsid w:val="00CA7A7D"/>
    <w:rsid w:val="00CB304D"/>
    <w:rsid w:val="00CB5471"/>
    <w:rsid w:val="00CC01D0"/>
    <w:rsid w:val="00CC40F2"/>
    <w:rsid w:val="00CD1001"/>
    <w:rsid w:val="00CD185F"/>
    <w:rsid w:val="00CD2DF8"/>
    <w:rsid w:val="00CD4916"/>
    <w:rsid w:val="00CD512A"/>
    <w:rsid w:val="00CD6658"/>
    <w:rsid w:val="00CE187A"/>
    <w:rsid w:val="00CE5707"/>
    <w:rsid w:val="00CE648A"/>
    <w:rsid w:val="00CE7069"/>
    <w:rsid w:val="00CE7381"/>
    <w:rsid w:val="00CF1AD2"/>
    <w:rsid w:val="00CF1C65"/>
    <w:rsid w:val="00CF45B4"/>
    <w:rsid w:val="00CF5649"/>
    <w:rsid w:val="00CF669D"/>
    <w:rsid w:val="00CF6C8C"/>
    <w:rsid w:val="00D03366"/>
    <w:rsid w:val="00D04009"/>
    <w:rsid w:val="00D05692"/>
    <w:rsid w:val="00D12DDD"/>
    <w:rsid w:val="00D15093"/>
    <w:rsid w:val="00D15753"/>
    <w:rsid w:val="00D162C2"/>
    <w:rsid w:val="00D22B4B"/>
    <w:rsid w:val="00D240C5"/>
    <w:rsid w:val="00D24362"/>
    <w:rsid w:val="00D2440C"/>
    <w:rsid w:val="00D30CEA"/>
    <w:rsid w:val="00D31085"/>
    <w:rsid w:val="00D35EE6"/>
    <w:rsid w:val="00D40204"/>
    <w:rsid w:val="00D41B11"/>
    <w:rsid w:val="00D429F7"/>
    <w:rsid w:val="00D47EA1"/>
    <w:rsid w:val="00D56207"/>
    <w:rsid w:val="00D60659"/>
    <w:rsid w:val="00D63AD9"/>
    <w:rsid w:val="00D63DE0"/>
    <w:rsid w:val="00D66368"/>
    <w:rsid w:val="00D70341"/>
    <w:rsid w:val="00D74AB5"/>
    <w:rsid w:val="00D75681"/>
    <w:rsid w:val="00D75EDB"/>
    <w:rsid w:val="00D77216"/>
    <w:rsid w:val="00D946B5"/>
    <w:rsid w:val="00DB140B"/>
    <w:rsid w:val="00DB25BE"/>
    <w:rsid w:val="00DB325B"/>
    <w:rsid w:val="00DB5505"/>
    <w:rsid w:val="00DD06D2"/>
    <w:rsid w:val="00DD0780"/>
    <w:rsid w:val="00DD0BB3"/>
    <w:rsid w:val="00DD4B83"/>
    <w:rsid w:val="00DD54F3"/>
    <w:rsid w:val="00DE1F9B"/>
    <w:rsid w:val="00DE2768"/>
    <w:rsid w:val="00DF1F65"/>
    <w:rsid w:val="00DF5C19"/>
    <w:rsid w:val="00DF5D1C"/>
    <w:rsid w:val="00DF7FB0"/>
    <w:rsid w:val="00E02859"/>
    <w:rsid w:val="00E10F1B"/>
    <w:rsid w:val="00E15DC5"/>
    <w:rsid w:val="00E1616A"/>
    <w:rsid w:val="00E170DD"/>
    <w:rsid w:val="00E24320"/>
    <w:rsid w:val="00E30D8A"/>
    <w:rsid w:val="00E31208"/>
    <w:rsid w:val="00E35D61"/>
    <w:rsid w:val="00E36A9F"/>
    <w:rsid w:val="00E4129F"/>
    <w:rsid w:val="00E51C22"/>
    <w:rsid w:val="00E52524"/>
    <w:rsid w:val="00E60E25"/>
    <w:rsid w:val="00E6207A"/>
    <w:rsid w:val="00E636A3"/>
    <w:rsid w:val="00E648E3"/>
    <w:rsid w:val="00E66808"/>
    <w:rsid w:val="00E6681B"/>
    <w:rsid w:val="00E71138"/>
    <w:rsid w:val="00E73699"/>
    <w:rsid w:val="00E75A17"/>
    <w:rsid w:val="00E805C9"/>
    <w:rsid w:val="00E8429F"/>
    <w:rsid w:val="00E861DD"/>
    <w:rsid w:val="00E87AE8"/>
    <w:rsid w:val="00E93F58"/>
    <w:rsid w:val="00E941E6"/>
    <w:rsid w:val="00E95401"/>
    <w:rsid w:val="00EA00A9"/>
    <w:rsid w:val="00EA2481"/>
    <w:rsid w:val="00EA4A22"/>
    <w:rsid w:val="00EA50DC"/>
    <w:rsid w:val="00EA766D"/>
    <w:rsid w:val="00EB180B"/>
    <w:rsid w:val="00EB263A"/>
    <w:rsid w:val="00EB28A2"/>
    <w:rsid w:val="00EB3D44"/>
    <w:rsid w:val="00EB4200"/>
    <w:rsid w:val="00EB552B"/>
    <w:rsid w:val="00EC22CB"/>
    <w:rsid w:val="00EC2773"/>
    <w:rsid w:val="00EC4438"/>
    <w:rsid w:val="00ED188A"/>
    <w:rsid w:val="00ED1B8B"/>
    <w:rsid w:val="00ED28AE"/>
    <w:rsid w:val="00ED7F28"/>
    <w:rsid w:val="00EE2F35"/>
    <w:rsid w:val="00EE5BE7"/>
    <w:rsid w:val="00EE6095"/>
    <w:rsid w:val="00EF742B"/>
    <w:rsid w:val="00F0234F"/>
    <w:rsid w:val="00F02FDD"/>
    <w:rsid w:val="00F038AE"/>
    <w:rsid w:val="00F04D3A"/>
    <w:rsid w:val="00F052D9"/>
    <w:rsid w:val="00F057C9"/>
    <w:rsid w:val="00F20CFD"/>
    <w:rsid w:val="00F2219A"/>
    <w:rsid w:val="00F251A1"/>
    <w:rsid w:val="00F2533C"/>
    <w:rsid w:val="00F26F08"/>
    <w:rsid w:val="00F305AF"/>
    <w:rsid w:val="00F40FBC"/>
    <w:rsid w:val="00F4133C"/>
    <w:rsid w:val="00F43C9C"/>
    <w:rsid w:val="00F4506C"/>
    <w:rsid w:val="00F47DEF"/>
    <w:rsid w:val="00F53957"/>
    <w:rsid w:val="00F56116"/>
    <w:rsid w:val="00F5627B"/>
    <w:rsid w:val="00F56C51"/>
    <w:rsid w:val="00F760CF"/>
    <w:rsid w:val="00F769B7"/>
    <w:rsid w:val="00F80EBB"/>
    <w:rsid w:val="00F93451"/>
    <w:rsid w:val="00F946BD"/>
    <w:rsid w:val="00FA4423"/>
    <w:rsid w:val="00FA6E8E"/>
    <w:rsid w:val="00FB24D7"/>
    <w:rsid w:val="00FB2FB9"/>
    <w:rsid w:val="00FC0110"/>
    <w:rsid w:val="00FC1100"/>
    <w:rsid w:val="00FD10CA"/>
    <w:rsid w:val="00FD1A88"/>
    <w:rsid w:val="00FE0DF7"/>
    <w:rsid w:val="00FE272C"/>
    <w:rsid w:val="00FE7614"/>
    <w:rsid w:val="00FF27BA"/>
    <w:rsid w:val="00FF45AA"/>
    <w:rsid w:val="00FF6793"/>
    <w:rsid w:val="00FF7078"/>
    <w:rsid w:val="00FF7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0AAB303"/>
  <w15:chartTrackingRefBased/>
  <w15:docId w15:val="{D91315B6-D7E5-44B1-962D-85190BBF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89B"/>
    <w:pPr>
      <w:overflowPunct w:val="0"/>
      <w:autoSpaceDE w:val="0"/>
      <w:autoSpaceDN w:val="0"/>
      <w:adjustRightInd w:val="0"/>
      <w:textAlignment w:val="baseline"/>
    </w:pPr>
    <w:rPr>
      <w:sz w:val="16"/>
      <w:lang w:val="en-US" w:eastAsia="en-US"/>
    </w:rPr>
  </w:style>
  <w:style w:type="paragraph" w:styleId="Heading1">
    <w:name w:val="heading 1"/>
    <w:basedOn w:val="Normal"/>
    <w:next w:val="Normal"/>
    <w:qFormat/>
    <w:rsid w:val="00C67DB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67DB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67DB3"/>
    <w:pPr>
      <w:keepNext/>
      <w:spacing w:before="240" w:after="60"/>
      <w:outlineLvl w:val="2"/>
    </w:pPr>
    <w:rPr>
      <w:rFonts w:ascii="Arial" w:hAnsi="Arial" w:cs="Arial"/>
      <w:b/>
      <w:bCs/>
      <w:sz w:val="26"/>
      <w:szCs w:val="26"/>
    </w:rPr>
  </w:style>
  <w:style w:type="paragraph" w:styleId="Heading4">
    <w:name w:val="heading 4"/>
    <w:basedOn w:val="Normal"/>
    <w:next w:val="Normal"/>
    <w:autoRedefine/>
    <w:qFormat/>
    <w:pPr>
      <w:keepNext/>
      <w:spacing w:before="240" w:after="60" w:line="360" w:lineRule="auto"/>
      <w:outlineLvl w:val="3"/>
    </w:pPr>
    <w:rPr>
      <w:rFonts w:ascii="Arial" w:hAnsi="Arial"/>
      <w:b/>
      <w:bCs/>
      <w:sz w:val="22"/>
      <w:szCs w:val="28"/>
    </w:rPr>
  </w:style>
  <w:style w:type="paragraph" w:styleId="Heading5">
    <w:name w:val="heading 5"/>
    <w:basedOn w:val="Normal"/>
    <w:next w:val="Normal"/>
    <w:qFormat/>
    <w:rsid w:val="001709C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3589B"/>
    <w:rPr>
      <w:color w:val="0000FF"/>
      <w:u w:val="single"/>
    </w:rPr>
  </w:style>
  <w:style w:type="paragraph" w:styleId="NormalWeb">
    <w:name w:val="Normal (Web)"/>
    <w:basedOn w:val="Normal"/>
    <w:rsid w:val="0073589B"/>
    <w:pPr>
      <w:overflowPunct/>
      <w:autoSpaceDE/>
      <w:autoSpaceDN/>
      <w:adjustRightInd/>
      <w:spacing w:before="100" w:beforeAutospacing="1" w:after="100" w:afterAutospacing="1"/>
      <w:textAlignment w:val="auto"/>
    </w:pPr>
    <w:rPr>
      <w:sz w:val="24"/>
      <w:szCs w:val="24"/>
      <w:lang w:val="en-AU" w:eastAsia="en-AU"/>
    </w:rPr>
  </w:style>
  <w:style w:type="paragraph" w:styleId="BodyText">
    <w:name w:val="Body Text"/>
    <w:basedOn w:val="Normal"/>
    <w:pPr>
      <w:spacing w:after="120" w:line="360" w:lineRule="auto"/>
    </w:pPr>
    <w:rPr>
      <w:rFonts w:ascii="Arial" w:hAnsi="Arial"/>
      <w:sz w:val="22"/>
    </w:rPr>
  </w:style>
  <w:style w:type="paragraph" w:styleId="BodyText2">
    <w:name w:val="Body Text 2"/>
    <w:basedOn w:val="Normal"/>
    <w:pPr>
      <w:spacing w:after="120" w:line="360" w:lineRule="auto"/>
      <w:ind w:left="567"/>
    </w:pPr>
    <w:rPr>
      <w:rFonts w:ascii="Arial" w:hAnsi="Arial"/>
      <w:sz w:val="20"/>
    </w:rPr>
  </w:style>
  <w:style w:type="paragraph" w:customStyle="1" w:styleId="maintext">
    <w:name w:val="main text"/>
    <w:basedOn w:val="Normal"/>
    <w:rsid w:val="00C67DB3"/>
    <w:pPr>
      <w:spacing w:line="360" w:lineRule="auto"/>
    </w:pPr>
    <w:rPr>
      <w:rFonts w:ascii="Verdana" w:hAnsi="Verdana"/>
      <w:sz w:val="22"/>
    </w:rPr>
  </w:style>
  <w:style w:type="paragraph" w:customStyle="1" w:styleId="Quotes">
    <w:name w:val="Quotes"/>
    <w:basedOn w:val="maintext"/>
    <w:rsid w:val="00C67DB3"/>
    <w:pPr>
      <w:ind w:left="720"/>
    </w:pPr>
    <w:rPr>
      <w:i/>
      <w:sz w:val="20"/>
    </w:rPr>
  </w:style>
  <w:style w:type="paragraph" w:customStyle="1" w:styleId="Documenttitle">
    <w:name w:val="Document title"/>
    <w:basedOn w:val="Heading1"/>
    <w:next w:val="maintext"/>
    <w:rsid w:val="00C67DB3"/>
    <w:pPr>
      <w:jc w:val="center"/>
    </w:pPr>
    <w:rPr>
      <w:rFonts w:ascii="Verdana" w:hAnsi="Verdana"/>
      <w:b w:val="0"/>
      <w:caps/>
    </w:rPr>
  </w:style>
  <w:style w:type="paragraph" w:customStyle="1" w:styleId="chapterheading">
    <w:name w:val="chapter heading"/>
    <w:basedOn w:val="Heading2"/>
    <w:next w:val="maintext"/>
    <w:rsid w:val="00C67DB3"/>
    <w:rPr>
      <w:rFonts w:ascii="Verdana" w:hAnsi="Verdana"/>
      <w:b w:val="0"/>
      <w:i w:val="0"/>
    </w:rPr>
  </w:style>
  <w:style w:type="paragraph" w:customStyle="1" w:styleId="sub-heading1">
    <w:name w:val="sub-heading 1"/>
    <w:basedOn w:val="Heading2"/>
    <w:next w:val="maintext"/>
    <w:rsid w:val="00C67DB3"/>
    <w:rPr>
      <w:rFonts w:ascii="Verdana" w:hAnsi="Verdana"/>
      <w:b w:val="0"/>
    </w:rPr>
  </w:style>
  <w:style w:type="paragraph" w:customStyle="1" w:styleId="sub-heading2">
    <w:name w:val="sub-heading 2"/>
    <w:basedOn w:val="Heading3"/>
    <w:rsid w:val="00C67DB3"/>
    <w:rPr>
      <w:rFonts w:ascii="Verdana" w:hAnsi="Verdana"/>
    </w:rPr>
  </w:style>
  <w:style w:type="paragraph" w:customStyle="1" w:styleId="sub-heading3">
    <w:name w:val="sub-heading 3"/>
    <w:basedOn w:val="Heading4"/>
    <w:next w:val="maintext"/>
    <w:rsid w:val="00C67DB3"/>
    <w:rPr>
      <w:rFonts w:ascii="Verdana" w:hAnsi="Verdana"/>
      <w:b w:val="0"/>
      <w:sz w:val="24"/>
    </w:rPr>
  </w:style>
  <w:style w:type="paragraph" w:customStyle="1" w:styleId="sub-heading4">
    <w:name w:val="sub-heading 4"/>
    <w:basedOn w:val="sub-heading3"/>
    <w:rsid w:val="00C67DB3"/>
    <w:rPr>
      <w:i/>
    </w:rPr>
  </w:style>
  <w:style w:type="paragraph" w:customStyle="1" w:styleId="Documenttitle1">
    <w:name w:val="Document title 1"/>
    <w:basedOn w:val="Documenttitle"/>
    <w:rsid w:val="002C7F17"/>
    <w:rPr>
      <w:caps w:val="0"/>
      <w:sz w:val="36"/>
      <w:szCs w:val="36"/>
    </w:rPr>
  </w:style>
  <w:style w:type="paragraph" w:customStyle="1" w:styleId="subheading5">
    <w:name w:val="subheading 5"/>
    <w:basedOn w:val="sub-heading3"/>
    <w:rsid w:val="002C7F17"/>
    <w:rPr>
      <w:b/>
      <w:sz w:val="20"/>
    </w:rPr>
  </w:style>
  <w:style w:type="paragraph" w:styleId="Header">
    <w:name w:val="header"/>
    <w:basedOn w:val="Normal"/>
    <w:rsid w:val="0073589B"/>
    <w:pPr>
      <w:tabs>
        <w:tab w:val="center" w:pos="4153"/>
        <w:tab w:val="right" w:pos="8306"/>
      </w:tabs>
    </w:pPr>
  </w:style>
  <w:style w:type="paragraph" w:styleId="Footer">
    <w:name w:val="footer"/>
    <w:basedOn w:val="Normal"/>
    <w:rsid w:val="0073589B"/>
    <w:pPr>
      <w:tabs>
        <w:tab w:val="center" w:pos="4153"/>
        <w:tab w:val="right" w:pos="8306"/>
      </w:tabs>
    </w:pPr>
  </w:style>
  <w:style w:type="character" w:styleId="PageNumber">
    <w:name w:val="page number"/>
    <w:basedOn w:val="DefaultParagraphFont"/>
    <w:rsid w:val="0073589B"/>
  </w:style>
  <w:style w:type="paragraph" w:styleId="FootnoteText">
    <w:name w:val="footnote text"/>
    <w:basedOn w:val="Normal"/>
    <w:semiHidden/>
    <w:rsid w:val="008C3B9C"/>
    <w:rPr>
      <w:sz w:val="20"/>
    </w:rPr>
  </w:style>
  <w:style w:type="character" w:styleId="FootnoteReference">
    <w:name w:val="footnote reference"/>
    <w:basedOn w:val="DefaultParagraphFont"/>
    <w:semiHidden/>
    <w:rsid w:val="008C3B9C"/>
    <w:rPr>
      <w:vertAlign w:val="superscript"/>
    </w:rPr>
  </w:style>
  <w:style w:type="character" w:customStyle="1" w:styleId="CharAmSchNo">
    <w:name w:val="CharAmSchNo"/>
    <w:basedOn w:val="DefaultParagraphFont"/>
    <w:rsid w:val="00C062F1"/>
  </w:style>
  <w:style w:type="character" w:customStyle="1" w:styleId="CharAmSchText">
    <w:name w:val="CharAmSchText"/>
    <w:basedOn w:val="DefaultParagraphFont"/>
    <w:rsid w:val="00C062F1"/>
  </w:style>
  <w:style w:type="character" w:customStyle="1" w:styleId="CharSchPTNo">
    <w:name w:val="CharSchPTNo"/>
    <w:basedOn w:val="DefaultParagraphFont"/>
    <w:rsid w:val="00C062F1"/>
  </w:style>
  <w:style w:type="character" w:customStyle="1" w:styleId="CharSchPTText">
    <w:name w:val="CharSchPTText"/>
    <w:basedOn w:val="DefaultParagraphFont"/>
    <w:rsid w:val="00C062F1"/>
  </w:style>
  <w:style w:type="paragraph" w:customStyle="1" w:styleId="Schedulepart">
    <w:name w:val="Schedule part"/>
    <w:basedOn w:val="Normal"/>
    <w:rsid w:val="00C062F1"/>
    <w:pPr>
      <w:keepNext/>
      <w:keepLines/>
      <w:overflowPunct/>
      <w:autoSpaceDE/>
      <w:autoSpaceDN/>
      <w:adjustRightInd/>
      <w:spacing w:before="360"/>
      <w:ind w:left="1559" w:hanging="1559"/>
      <w:textAlignment w:val="auto"/>
    </w:pPr>
    <w:rPr>
      <w:rFonts w:ascii="Arial" w:hAnsi="Arial" w:cs="Arial"/>
      <w:b/>
      <w:bCs/>
      <w:sz w:val="28"/>
      <w:szCs w:val="28"/>
      <w:lang w:val="en-AU"/>
    </w:rPr>
  </w:style>
  <w:style w:type="paragraph" w:customStyle="1" w:styleId="Schedulereference">
    <w:name w:val="Schedule reference"/>
    <w:basedOn w:val="Normal"/>
    <w:next w:val="Schedulepart"/>
    <w:rsid w:val="00C062F1"/>
    <w:pPr>
      <w:keepNext/>
      <w:keepLines/>
      <w:overflowPunct/>
      <w:autoSpaceDE/>
      <w:autoSpaceDN/>
      <w:adjustRightInd/>
      <w:spacing w:before="60" w:line="200" w:lineRule="exact"/>
      <w:ind w:left="2410"/>
      <w:textAlignment w:val="auto"/>
    </w:pPr>
    <w:rPr>
      <w:rFonts w:ascii="Arial" w:hAnsi="Arial" w:cs="Arial"/>
      <w:sz w:val="18"/>
      <w:szCs w:val="18"/>
      <w:lang w:val="en-AU"/>
    </w:rPr>
  </w:style>
  <w:style w:type="paragraph" w:customStyle="1" w:styleId="Scheduletitle">
    <w:name w:val="Schedule title"/>
    <w:basedOn w:val="Normal"/>
    <w:next w:val="Schedulereference"/>
    <w:rsid w:val="00C062F1"/>
    <w:pPr>
      <w:keepNext/>
      <w:keepLines/>
      <w:overflowPunct/>
      <w:autoSpaceDE/>
      <w:autoSpaceDN/>
      <w:adjustRightInd/>
      <w:spacing w:before="480"/>
      <w:ind w:left="2410" w:hanging="2410"/>
      <w:textAlignment w:val="auto"/>
    </w:pPr>
    <w:rPr>
      <w:rFonts w:ascii="Arial" w:hAnsi="Arial" w:cs="Arial"/>
      <w:b/>
      <w:bCs/>
      <w:sz w:val="32"/>
      <w:szCs w:val="32"/>
      <w:lang w:val="en-AU"/>
    </w:rPr>
  </w:style>
  <w:style w:type="paragraph" w:customStyle="1" w:styleId="TableColHead">
    <w:name w:val="TableColHead"/>
    <w:basedOn w:val="Normal"/>
    <w:rsid w:val="00C062F1"/>
    <w:pPr>
      <w:keepNext/>
      <w:overflowPunct/>
      <w:autoSpaceDE/>
      <w:autoSpaceDN/>
      <w:adjustRightInd/>
      <w:spacing w:before="120" w:after="60" w:line="200" w:lineRule="exact"/>
      <w:textAlignment w:val="auto"/>
    </w:pPr>
    <w:rPr>
      <w:rFonts w:ascii="Arial" w:hAnsi="Arial" w:cs="Arial"/>
      <w:b/>
      <w:bCs/>
      <w:sz w:val="18"/>
      <w:szCs w:val="18"/>
      <w:lang w:val="en-AU"/>
    </w:rPr>
  </w:style>
  <w:style w:type="paragraph" w:customStyle="1" w:styleId="TableP1a">
    <w:name w:val="TableP1(a)"/>
    <w:basedOn w:val="Normal"/>
    <w:rsid w:val="00C062F1"/>
    <w:pPr>
      <w:tabs>
        <w:tab w:val="right" w:pos="408"/>
      </w:tabs>
      <w:overflowPunct/>
      <w:autoSpaceDE/>
      <w:autoSpaceDN/>
      <w:adjustRightInd/>
      <w:spacing w:after="60" w:line="240" w:lineRule="exact"/>
      <w:ind w:left="533" w:hanging="533"/>
      <w:textAlignment w:val="auto"/>
    </w:pPr>
    <w:rPr>
      <w:sz w:val="22"/>
      <w:szCs w:val="22"/>
      <w:lang w:val="en-AU" w:eastAsia="en-AU"/>
    </w:rPr>
  </w:style>
  <w:style w:type="paragraph" w:customStyle="1" w:styleId="TableText">
    <w:name w:val="TableText"/>
    <w:basedOn w:val="Normal"/>
    <w:rsid w:val="00C062F1"/>
    <w:pPr>
      <w:overflowPunct/>
      <w:autoSpaceDE/>
      <w:autoSpaceDN/>
      <w:adjustRightInd/>
      <w:spacing w:before="60" w:after="60" w:line="240" w:lineRule="exact"/>
      <w:textAlignment w:val="auto"/>
    </w:pPr>
    <w:rPr>
      <w:sz w:val="22"/>
      <w:szCs w:val="22"/>
      <w:lang w:val="en-AU"/>
    </w:rPr>
  </w:style>
  <w:style w:type="paragraph" w:styleId="BalloonText">
    <w:name w:val="Balloon Text"/>
    <w:basedOn w:val="Normal"/>
    <w:semiHidden/>
    <w:rsid w:val="00890B63"/>
    <w:rPr>
      <w:rFonts w:ascii="Tahoma" w:hAnsi="Tahoma" w:cs="Tahoma"/>
      <w:szCs w:val="16"/>
    </w:rPr>
  </w:style>
  <w:style w:type="character" w:styleId="FollowedHyperlink">
    <w:name w:val="FollowedHyperlink"/>
    <w:basedOn w:val="DefaultParagraphFont"/>
    <w:rsid w:val="000319E9"/>
    <w:rPr>
      <w:color w:val="954F72" w:themeColor="followedHyperlink"/>
      <w:u w:val="single"/>
    </w:rPr>
  </w:style>
  <w:style w:type="paragraph" w:styleId="ListParagraph">
    <w:name w:val="List Paragraph"/>
    <w:basedOn w:val="Normal"/>
    <w:uiPriority w:val="34"/>
    <w:qFormat/>
    <w:rsid w:val="006D7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52068">
      <w:bodyDiv w:val="1"/>
      <w:marLeft w:val="0"/>
      <w:marRight w:val="0"/>
      <w:marTop w:val="0"/>
      <w:marBottom w:val="0"/>
      <w:divBdr>
        <w:top w:val="none" w:sz="0" w:space="0" w:color="auto"/>
        <w:left w:val="none" w:sz="0" w:space="0" w:color="auto"/>
        <w:bottom w:val="none" w:sz="0" w:space="0" w:color="auto"/>
        <w:right w:val="none" w:sz="0" w:space="0" w:color="auto"/>
      </w:divBdr>
    </w:div>
    <w:div w:id="470943040">
      <w:bodyDiv w:val="1"/>
      <w:marLeft w:val="0"/>
      <w:marRight w:val="0"/>
      <w:marTop w:val="0"/>
      <w:marBottom w:val="0"/>
      <w:divBdr>
        <w:top w:val="none" w:sz="0" w:space="0" w:color="auto"/>
        <w:left w:val="none" w:sz="0" w:space="0" w:color="auto"/>
        <w:bottom w:val="none" w:sz="0" w:space="0" w:color="auto"/>
        <w:right w:val="none" w:sz="0" w:space="0" w:color="auto"/>
      </w:divBdr>
    </w:div>
    <w:div w:id="869221850">
      <w:bodyDiv w:val="1"/>
      <w:marLeft w:val="0"/>
      <w:marRight w:val="0"/>
      <w:marTop w:val="0"/>
      <w:marBottom w:val="0"/>
      <w:divBdr>
        <w:top w:val="none" w:sz="0" w:space="0" w:color="auto"/>
        <w:left w:val="none" w:sz="0" w:space="0" w:color="auto"/>
        <w:bottom w:val="none" w:sz="0" w:space="0" w:color="auto"/>
        <w:right w:val="none" w:sz="0" w:space="0" w:color="auto"/>
      </w:divBdr>
      <w:divsChild>
        <w:div w:id="1130247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7131178">
      <w:bodyDiv w:val="1"/>
      <w:marLeft w:val="0"/>
      <w:marRight w:val="0"/>
      <w:marTop w:val="0"/>
      <w:marBottom w:val="0"/>
      <w:divBdr>
        <w:top w:val="none" w:sz="0" w:space="0" w:color="auto"/>
        <w:left w:val="none" w:sz="0" w:space="0" w:color="auto"/>
        <w:bottom w:val="none" w:sz="0" w:space="0" w:color="auto"/>
        <w:right w:val="none" w:sz="0" w:space="0" w:color="auto"/>
      </w:divBdr>
      <w:divsChild>
        <w:div w:id="1467241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4895166">
      <w:bodyDiv w:val="1"/>
      <w:marLeft w:val="0"/>
      <w:marRight w:val="0"/>
      <w:marTop w:val="0"/>
      <w:marBottom w:val="0"/>
      <w:divBdr>
        <w:top w:val="none" w:sz="0" w:space="0" w:color="auto"/>
        <w:left w:val="none" w:sz="0" w:space="0" w:color="auto"/>
        <w:bottom w:val="none" w:sz="0" w:space="0" w:color="auto"/>
        <w:right w:val="none" w:sz="0" w:space="0" w:color="auto"/>
      </w:divBdr>
      <w:divsChild>
        <w:div w:id="1742943736">
          <w:marLeft w:val="0"/>
          <w:marRight w:val="0"/>
          <w:marTop w:val="0"/>
          <w:marBottom w:val="0"/>
          <w:divBdr>
            <w:top w:val="none" w:sz="0" w:space="0" w:color="auto"/>
            <w:left w:val="none" w:sz="0" w:space="0" w:color="auto"/>
            <w:bottom w:val="none" w:sz="0" w:space="0" w:color="auto"/>
            <w:right w:val="none" w:sz="0" w:space="0" w:color="auto"/>
          </w:divBdr>
          <w:divsChild>
            <w:div w:id="821772268">
              <w:marLeft w:val="2850"/>
              <w:marRight w:val="150"/>
              <w:marTop w:val="0"/>
              <w:marBottom w:val="150"/>
              <w:divBdr>
                <w:top w:val="none" w:sz="0" w:space="0" w:color="auto"/>
                <w:left w:val="none" w:sz="0" w:space="0" w:color="auto"/>
                <w:bottom w:val="none" w:sz="0" w:space="0" w:color="auto"/>
                <w:right w:val="none" w:sz="0" w:space="0" w:color="auto"/>
              </w:divBdr>
              <w:divsChild>
                <w:div w:id="781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law.tas.gov.au/tocview/index.w3p;cond=;doc_id=44%2B%2B2003%2BGS1%2FEN%2B20100210000000;histon=;prompt=;rec=;ter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upremecourt.tas.gov.au/the-court/fees/filing-fees/" TargetMode="External"/><Relationship Id="rId12" Type="http://schemas.openxmlformats.org/officeDocument/2006/relationships/hyperlink" Target="http://www.thelaw.tas.gov.au/tocview/index.w3p;cond=;doc_id=77%2B%2B2001%2BGS1%2FEN%2B20100210000000;histon=;prompt=;rec=;ter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law.tas.gov.au/tocview/index.w3p;cond=;doc_id=77%2B%2B2001%2BGS12%2FGs2%2FEN%2B20100210000000%23GS12%40Gs2%40EN;histon=;prompt=;rec=;ter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helaw.tas.gov.au/tocview/index.w3p;cond=;doc_id=77%2B%2B2001%2BGS1%2FEN%2B20100210000000;histon=;prompt=;rec=;te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law.tas.gov.au/tocview/index.w3p;cond=;doc_id=77%2B%2B2001%2BGS12%2FEN%2B20100210000000%23GS12%40EN;histon=;prompt=;rec=;ter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5000</Words>
  <Characters>25502</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Admission to Practice Law in Tasmania</vt:lpstr>
    </vt:vector>
  </TitlesOfParts>
  <Company>Department of Justice</Company>
  <LinksUpToDate>false</LinksUpToDate>
  <CharactersWithSpaces>30442</CharactersWithSpaces>
  <SharedDoc>false</SharedDoc>
  <HLinks>
    <vt:vector size="30" baseType="variant">
      <vt:variant>
        <vt:i4>2752581</vt:i4>
      </vt:variant>
      <vt:variant>
        <vt:i4>12</vt:i4>
      </vt:variant>
      <vt:variant>
        <vt:i4>0</vt:i4>
      </vt:variant>
      <vt:variant>
        <vt:i4>5</vt:i4>
      </vt:variant>
      <vt:variant>
        <vt:lpwstr>http://www.thelaw.tas.gov.au/tocview/index.w3p;cond=;doc_id=77%2B%2B2001%2BGS1%2FEN%2B20100210000000;histon=;prompt=;rec=;term=</vt:lpwstr>
      </vt:variant>
      <vt:variant>
        <vt:lpwstr/>
      </vt:variant>
      <vt:variant>
        <vt:i4>720930</vt:i4>
      </vt:variant>
      <vt:variant>
        <vt:i4>9</vt:i4>
      </vt:variant>
      <vt:variant>
        <vt:i4>0</vt:i4>
      </vt:variant>
      <vt:variant>
        <vt:i4>5</vt:i4>
      </vt:variant>
      <vt:variant>
        <vt:lpwstr>http://www.thelaw.tas.gov.au/tocview/index.w3p;cond=;doc_id=77%2B%2B2001%2BGS12%2FGs2%2FEN%2B20100210000000%23GS12%40Gs2%40EN;histon=;prompt=;rec=;term=</vt:lpwstr>
      </vt:variant>
      <vt:variant>
        <vt:lpwstr/>
      </vt:variant>
      <vt:variant>
        <vt:i4>2752581</vt:i4>
      </vt:variant>
      <vt:variant>
        <vt:i4>6</vt:i4>
      </vt:variant>
      <vt:variant>
        <vt:i4>0</vt:i4>
      </vt:variant>
      <vt:variant>
        <vt:i4>5</vt:i4>
      </vt:variant>
      <vt:variant>
        <vt:lpwstr>http://www.thelaw.tas.gov.au/tocview/index.w3p;cond=;doc_id=77%2B%2B2001%2BGS1%2FEN%2B20100210000000;histon=;prompt=;rec=;term=</vt:lpwstr>
      </vt:variant>
      <vt:variant>
        <vt:lpwstr/>
      </vt:variant>
      <vt:variant>
        <vt:i4>5898275</vt:i4>
      </vt:variant>
      <vt:variant>
        <vt:i4>3</vt:i4>
      </vt:variant>
      <vt:variant>
        <vt:i4>0</vt:i4>
      </vt:variant>
      <vt:variant>
        <vt:i4>5</vt:i4>
      </vt:variant>
      <vt:variant>
        <vt:lpwstr>http://www.thelaw.tas.gov.au/tocview/index.w3p;cond=;doc_id=77%2B%2B2001%2BGS12%2FEN%2B20100210000000%23GS12%40EN;histon=;prompt=;rec=;term=</vt:lpwstr>
      </vt:variant>
      <vt:variant>
        <vt:lpwstr/>
      </vt:variant>
      <vt:variant>
        <vt:i4>2818118</vt:i4>
      </vt:variant>
      <vt:variant>
        <vt:i4>0</vt:i4>
      </vt:variant>
      <vt:variant>
        <vt:i4>0</vt:i4>
      </vt:variant>
      <vt:variant>
        <vt:i4>5</vt:i4>
      </vt:variant>
      <vt:variant>
        <vt:lpwstr>http://www.thelaw.tas.gov.au/tocview/index.w3p;cond=;doc_id=44%2B%2B2003%2BGS1%2FEN%2B20100210000000;histon=;prompt=;rec=;term=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 to Practice Law in Tasmania</dc:title>
  <dc:subject/>
  <dc:creator>emilyw</dc:creator>
  <cp:keywords/>
  <dc:description/>
  <cp:lastModifiedBy>Vizer, Helen</cp:lastModifiedBy>
  <cp:revision>9</cp:revision>
  <cp:lastPrinted>2010-02-21T23:23:00Z</cp:lastPrinted>
  <dcterms:created xsi:type="dcterms:W3CDTF">2019-06-18T04:00:00Z</dcterms:created>
  <dcterms:modified xsi:type="dcterms:W3CDTF">2019-09-02T23:23:00Z</dcterms:modified>
</cp:coreProperties>
</file>