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310" w:rsidRDefault="00263266" w:rsidP="00817310">
      <w:pPr>
        <w:spacing w:line="360" w:lineRule="auto"/>
        <w:jc w:val="center"/>
        <w:rPr>
          <w:rFonts w:ascii="Times New Roman" w:hAnsi="Times New Roman"/>
          <w:b/>
          <w:sz w:val="28"/>
          <w:szCs w:val="28"/>
        </w:rPr>
      </w:pPr>
      <w:bookmarkStart w:id="0" w:name="_GoBack"/>
      <w:bookmarkEnd w:id="0"/>
      <w:r w:rsidRPr="00A87953">
        <w:rPr>
          <w:rFonts w:ascii="Times New Roman" w:hAnsi="Times New Roman"/>
          <w:b/>
          <w:sz w:val="28"/>
          <w:szCs w:val="28"/>
        </w:rPr>
        <w:t xml:space="preserve">Issue Estoppel – Can decisions of </w:t>
      </w:r>
      <w:r w:rsidR="00152573" w:rsidRPr="00A87953">
        <w:rPr>
          <w:rFonts w:ascii="Times New Roman" w:hAnsi="Times New Roman"/>
          <w:b/>
          <w:sz w:val="28"/>
          <w:szCs w:val="28"/>
        </w:rPr>
        <w:t xml:space="preserve">lower courts and </w:t>
      </w:r>
      <w:r w:rsidRPr="00A87953">
        <w:rPr>
          <w:rFonts w:ascii="Times New Roman" w:hAnsi="Times New Roman"/>
          <w:b/>
          <w:sz w:val="28"/>
          <w:szCs w:val="28"/>
        </w:rPr>
        <w:t xml:space="preserve">tribunals </w:t>
      </w:r>
    </w:p>
    <w:p w:rsidR="00586147" w:rsidRPr="00A87953" w:rsidRDefault="00263266" w:rsidP="00817310">
      <w:pPr>
        <w:spacing w:line="360" w:lineRule="auto"/>
        <w:jc w:val="center"/>
        <w:rPr>
          <w:rFonts w:ascii="Times New Roman" w:hAnsi="Times New Roman"/>
          <w:b/>
          <w:sz w:val="28"/>
          <w:szCs w:val="28"/>
        </w:rPr>
      </w:pPr>
      <w:r w:rsidRPr="00A87953">
        <w:rPr>
          <w:rFonts w:ascii="Times New Roman" w:hAnsi="Times New Roman"/>
          <w:b/>
          <w:sz w:val="28"/>
          <w:szCs w:val="28"/>
        </w:rPr>
        <w:t>be binding on the Supreme Court?</w:t>
      </w:r>
    </w:p>
    <w:p w:rsidR="00263266" w:rsidRPr="00A87953" w:rsidRDefault="00263266" w:rsidP="00817310">
      <w:pPr>
        <w:spacing w:line="360" w:lineRule="auto"/>
        <w:jc w:val="center"/>
        <w:rPr>
          <w:rFonts w:ascii="Times New Roman" w:hAnsi="Times New Roman"/>
          <w:b/>
          <w:sz w:val="28"/>
          <w:szCs w:val="28"/>
        </w:rPr>
      </w:pPr>
      <w:r w:rsidRPr="00A87953">
        <w:rPr>
          <w:rFonts w:ascii="Times New Roman" w:hAnsi="Times New Roman"/>
          <w:b/>
          <w:sz w:val="28"/>
          <w:szCs w:val="28"/>
        </w:rPr>
        <w:t xml:space="preserve">Australian Insurance Law </w:t>
      </w:r>
      <w:r w:rsidR="00D223F9" w:rsidRPr="00A87953">
        <w:rPr>
          <w:rFonts w:ascii="Times New Roman" w:hAnsi="Times New Roman"/>
          <w:b/>
          <w:sz w:val="28"/>
          <w:szCs w:val="28"/>
        </w:rPr>
        <w:t>Association</w:t>
      </w:r>
    </w:p>
    <w:p w:rsidR="009F6D1D" w:rsidRPr="00A87953" w:rsidRDefault="009F6D1D" w:rsidP="00817310">
      <w:pPr>
        <w:spacing w:line="360" w:lineRule="auto"/>
        <w:jc w:val="center"/>
        <w:rPr>
          <w:rFonts w:ascii="Times New Roman" w:hAnsi="Times New Roman"/>
          <w:sz w:val="28"/>
          <w:szCs w:val="28"/>
        </w:rPr>
      </w:pPr>
      <w:r w:rsidRPr="00A87953">
        <w:rPr>
          <w:rFonts w:ascii="Times New Roman" w:hAnsi="Times New Roman"/>
          <w:sz w:val="28"/>
          <w:szCs w:val="28"/>
        </w:rPr>
        <w:t>Justice Robert Pearce, Supreme Court of Tasmania</w:t>
      </w:r>
    </w:p>
    <w:p w:rsidR="009F6D1D" w:rsidRPr="00A87953" w:rsidRDefault="009F6D1D" w:rsidP="00817310">
      <w:pPr>
        <w:spacing w:line="360" w:lineRule="auto"/>
        <w:jc w:val="center"/>
        <w:rPr>
          <w:rFonts w:ascii="Times New Roman" w:hAnsi="Times New Roman"/>
          <w:sz w:val="28"/>
          <w:szCs w:val="28"/>
        </w:rPr>
      </w:pPr>
      <w:r w:rsidRPr="00A87953">
        <w:rPr>
          <w:rFonts w:ascii="Times New Roman" w:hAnsi="Times New Roman"/>
          <w:sz w:val="28"/>
          <w:szCs w:val="28"/>
        </w:rPr>
        <w:t>27 August 2014</w:t>
      </w:r>
    </w:p>
    <w:p w:rsidR="009F6D1D" w:rsidRPr="00A87953" w:rsidRDefault="009F6D1D">
      <w:pPr>
        <w:rPr>
          <w:rFonts w:ascii="Times New Roman" w:hAnsi="Times New Roman"/>
          <w:sz w:val="28"/>
          <w:szCs w:val="28"/>
        </w:rPr>
      </w:pPr>
    </w:p>
    <w:p w:rsidR="00C51593"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C51593" w:rsidRPr="00A87953">
        <w:rPr>
          <w:rFonts w:ascii="Times New Roman" w:hAnsi="Times New Roman"/>
          <w:sz w:val="28"/>
          <w:szCs w:val="28"/>
        </w:rPr>
        <w:t>I will commence with a disclaimer.</w:t>
      </w:r>
      <w:r w:rsidR="00B73F33">
        <w:rPr>
          <w:rFonts w:ascii="Times New Roman" w:hAnsi="Times New Roman"/>
          <w:sz w:val="28"/>
          <w:szCs w:val="28"/>
        </w:rPr>
        <w:t xml:space="preserve"> </w:t>
      </w:r>
      <w:r w:rsidR="00C51593" w:rsidRPr="00A87953">
        <w:rPr>
          <w:rFonts w:ascii="Times New Roman" w:hAnsi="Times New Roman"/>
          <w:sz w:val="28"/>
          <w:szCs w:val="28"/>
        </w:rPr>
        <w:t xml:space="preserve">Any views expressed in this paper are without the benefit of submissions from counsel and </w:t>
      </w:r>
      <w:r w:rsidR="00E029FF" w:rsidRPr="00A87953">
        <w:rPr>
          <w:rFonts w:ascii="Times New Roman" w:hAnsi="Times New Roman"/>
          <w:sz w:val="28"/>
          <w:szCs w:val="28"/>
        </w:rPr>
        <w:t>are not to be taken in</w:t>
      </w:r>
      <w:r w:rsidR="00C51593" w:rsidRPr="00A87953">
        <w:rPr>
          <w:rFonts w:ascii="Times New Roman" w:hAnsi="Times New Roman"/>
          <w:sz w:val="28"/>
          <w:szCs w:val="28"/>
        </w:rPr>
        <w:t xml:space="preserve"> any subsequent proceedings</w:t>
      </w:r>
      <w:r w:rsidR="00E029FF" w:rsidRPr="00A87953">
        <w:rPr>
          <w:rFonts w:ascii="Times New Roman" w:hAnsi="Times New Roman"/>
          <w:sz w:val="28"/>
          <w:szCs w:val="28"/>
        </w:rPr>
        <w:t xml:space="preserve"> to express a concluded view</w:t>
      </w:r>
      <w:r w:rsidR="00C51593" w:rsidRPr="00A87953">
        <w:rPr>
          <w:rFonts w:ascii="Times New Roman" w:hAnsi="Times New Roman"/>
          <w:sz w:val="28"/>
          <w:szCs w:val="28"/>
        </w:rPr>
        <w:t>.</w:t>
      </w:r>
      <w:r w:rsidR="00B73F33">
        <w:rPr>
          <w:rFonts w:ascii="Times New Roman" w:hAnsi="Times New Roman"/>
          <w:sz w:val="28"/>
          <w:szCs w:val="28"/>
        </w:rPr>
        <w:t xml:space="preserve"> </w:t>
      </w:r>
      <w:r w:rsidR="00C51593" w:rsidRPr="00A87953">
        <w:rPr>
          <w:rFonts w:ascii="Times New Roman" w:hAnsi="Times New Roman"/>
          <w:sz w:val="28"/>
          <w:szCs w:val="28"/>
        </w:rPr>
        <w:t>I</w:t>
      </w:r>
      <w:r w:rsidR="00E029FF" w:rsidRPr="00A87953">
        <w:rPr>
          <w:rFonts w:ascii="Times New Roman" w:hAnsi="Times New Roman"/>
          <w:sz w:val="28"/>
          <w:szCs w:val="28"/>
        </w:rPr>
        <w:t xml:space="preserve">n any event, what is </w:t>
      </w:r>
      <w:r w:rsidR="00C51593" w:rsidRPr="00A87953">
        <w:rPr>
          <w:rFonts w:ascii="Times New Roman" w:hAnsi="Times New Roman"/>
          <w:sz w:val="28"/>
          <w:szCs w:val="28"/>
        </w:rPr>
        <w:t xml:space="preserve">intended </w:t>
      </w:r>
      <w:r w:rsidR="00E029FF" w:rsidRPr="00A87953">
        <w:rPr>
          <w:rFonts w:ascii="Times New Roman" w:hAnsi="Times New Roman"/>
          <w:sz w:val="28"/>
          <w:szCs w:val="28"/>
        </w:rPr>
        <w:t xml:space="preserve">of this paper is </w:t>
      </w:r>
      <w:r w:rsidR="00C51593" w:rsidRPr="00A87953">
        <w:rPr>
          <w:rFonts w:ascii="Times New Roman" w:hAnsi="Times New Roman"/>
          <w:sz w:val="28"/>
          <w:szCs w:val="28"/>
        </w:rPr>
        <w:t>to raise awareness of an issue</w:t>
      </w:r>
      <w:r w:rsidR="00E029FF" w:rsidRPr="00A87953">
        <w:rPr>
          <w:rFonts w:ascii="Times New Roman" w:hAnsi="Times New Roman"/>
          <w:sz w:val="28"/>
          <w:szCs w:val="28"/>
        </w:rPr>
        <w:t xml:space="preserve"> rather tha</w:t>
      </w:r>
      <w:r w:rsidR="00A90E69">
        <w:rPr>
          <w:rFonts w:ascii="Times New Roman" w:hAnsi="Times New Roman"/>
          <w:sz w:val="28"/>
          <w:szCs w:val="28"/>
        </w:rPr>
        <w:t>n</w:t>
      </w:r>
      <w:r w:rsidR="00E029FF" w:rsidRPr="00A87953">
        <w:rPr>
          <w:rFonts w:ascii="Times New Roman" w:hAnsi="Times New Roman"/>
          <w:sz w:val="28"/>
          <w:szCs w:val="28"/>
        </w:rPr>
        <w:t xml:space="preserve"> express opinions about the law.</w:t>
      </w:r>
    </w:p>
    <w:p w:rsidR="00730372"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9F6D1D" w:rsidRPr="00A87953">
        <w:rPr>
          <w:rFonts w:ascii="Times New Roman" w:hAnsi="Times New Roman"/>
          <w:sz w:val="28"/>
          <w:szCs w:val="28"/>
        </w:rPr>
        <w:t>Th</w:t>
      </w:r>
      <w:r w:rsidR="00D3650B" w:rsidRPr="00A87953">
        <w:rPr>
          <w:rFonts w:ascii="Times New Roman" w:hAnsi="Times New Roman"/>
          <w:sz w:val="28"/>
          <w:szCs w:val="28"/>
        </w:rPr>
        <w:t>e object of this paper is to alert you to the p</w:t>
      </w:r>
      <w:r w:rsidR="00A87953">
        <w:rPr>
          <w:rFonts w:ascii="Times New Roman" w:hAnsi="Times New Roman"/>
          <w:sz w:val="28"/>
          <w:szCs w:val="28"/>
        </w:rPr>
        <w:t>rospect</w:t>
      </w:r>
      <w:r w:rsidR="00D3650B" w:rsidRPr="00A87953">
        <w:rPr>
          <w:rFonts w:ascii="Times New Roman" w:hAnsi="Times New Roman"/>
          <w:sz w:val="28"/>
          <w:szCs w:val="28"/>
        </w:rPr>
        <w:t xml:space="preserve"> that </w:t>
      </w:r>
      <w:r w:rsidR="009F6D1D" w:rsidRPr="00A87953">
        <w:rPr>
          <w:rFonts w:ascii="Times New Roman" w:hAnsi="Times New Roman"/>
          <w:sz w:val="28"/>
          <w:szCs w:val="28"/>
        </w:rPr>
        <w:t>a decision of a</w:t>
      </w:r>
      <w:r w:rsidR="00A87953">
        <w:rPr>
          <w:rFonts w:ascii="Times New Roman" w:hAnsi="Times New Roman"/>
          <w:sz w:val="28"/>
          <w:szCs w:val="28"/>
        </w:rPr>
        <w:t xml:space="preserve"> lower</w:t>
      </w:r>
      <w:r w:rsidR="009F6D1D" w:rsidRPr="00A87953">
        <w:rPr>
          <w:rFonts w:ascii="Times New Roman" w:hAnsi="Times New Roman"/>
          <w:sz w:val="28"/>
          <w:szCs w:val="28"/>
        </w:rPr>
        <w:t xml:space="preserve"> court or tribunal may bind the Supreme Court</w:t>
      </w:r>
      <w:r w:rsidR="0007123B" w:rsidRPr="00A87953">
        <w:rPr>
          <w:rFonts w:ascii="Times New Roman" w:hAnsi="Times New Roman"/>
          <w:sz w:val="28"/>
          <w:szCs w:val="28"/>
        </w:rPr>
        <w:t>,</w:t>
      </w:r>
      <w:r w:rsidR="006402BC" w:rsidRPr="00A87953">
        <w:rPr>
          <w:rFonts w:ascii="Times New Roman" w:hAnsi="Times New Roman"/>
          <w:sz w:val="28"/>
          <w:szCs w:val="28"/>
        </w:rPr>
        <w:t xml:space="preserve"> and </w:t>
      </w:r>
      <w:r w:rsidR="006402BC" w:rsidRPr="00A87953">
        <w:rPr>
          <w:rFonts w:ascii="Times New Roman" w:hAnsi="Times New Roman"/>
          <w:i/>
          <w:sz w:val="28"/>
          <w:szCs w:val="28"/>
        </w:rPr>
        <w:t>vice versa</w:t>
      </w:r>
      <w:r w:rsidR="00D3650B" w:rsidRPr="00A87953">
        <w:rPr>
          <w:rFonts w:ascii="Times New Roman" w:hAnsi="Times New Roman"/>
          <w:sz w:val="28"/>
          <w:szCs w:val="28"/>
        </w:rPr>
        <w:t>, and to explain how and why that may happen.</w:t>
      </w:r>
      <w:r w:rsidR="00B73F33">
        <w:rPr>
          <w:rFonts w:ascii="Times New Roman" w:hAnsi="Times New Roman"/>
          <w:sz w:val="28"/>
          <w:szCs w:val="28"/>
        </w:rPr>
        <w:t xml:space="preserve"> </w:t>
      </w:r>
      <w:r w:rsidR="00730372" w:rsidRPr="00A87953">
        <w:rPr>
          <w:rFonts w:ascii="Times New Roman" w:hAnsi="Times New Roman"/>
          <w:sz w:val="28"/>
          <w:szCs w:val="28"/>
        </w:rPr>
        <w:t xml:space="preserve">There are a range of </w:t>
      </w:r>
      <w:r w:rsidR="00B450E5" w:rsidRPr="00A87953">
        <w:rPr>
          <w:rFonts w:ascii="Times New Roman" w:hAnsi="Times New Roman"/>
          <w:sz w:val="28"/>
          <w:szCs w:val="28"/>
        </w:rPr>
        <w:t>tribunals and courts</w:t>
      </w:r>
      <w:r w:rsidR="00730372" w:rsidRPr="00A87953">
        <w:rPr>
          <w:rFonts w:ascii="Times New Roman" w:hAnsi="Times New Roman"/>
          <w:sz w:val="28"/>
          <w:szCs w:val="28"/>
        </w:rPr>
        <w:t xml:space="preserve"> in Tasmania which </w:t>
      </w:r>
      <w:r w:rsidR="00A87953">
        <w:rPr>
          <w:rFonts w:ascii="Times New Roman" w:hAnsi="Times New Roman"/>
          <w:sz w:val="28"/>
          <w:szCs w:val="28"/>
        </w:rPr>
        <w:t>c</w:t>
      </w:r>
      <w:r w:rsidR="00730372" w:rsidRPr="00A87953">
        <w:rPr>
          <w:rFonts w:ascii="Times New Roman" w:hAnsi="Times New Roman"/>
          <w:sz w:val="28"/>
          <w:szCs w:val="28"/>
        </w:rPr>
        <w:t>ome to mind:</w:t>
      </w:r>
    </w:p>
    <w:p w:rsidR="00187F3B" w:rsidRDefault="00187F3B" w:rsidP="00817310">
      <w:pPr>
        <w:numPr>
          <w:ilvl w:val="0"/>
          <w:numId w:val="15"/>
        </w:numPr>
        <w:ind w:left="360"/>
        <w:jc w:val="both"/>
        <w:rPr>
          <w:rFonts w:ascii="Times New Roman" w:hAnsi="Times New Roman"/>
          <w:sz w:val="28"/>
          <w:szCs w:val="28"/>
        </w:rPr>
      </w:pPr>
      <w:r w:rsidRPr="00187F3B">
        <w:rPr>
          <w:rFonts w:ascii="Times New Roman" w:hAnsi="Times New Roman"/>
          <w:sz w:val="28"/>
          <w:szCs w:val="28"/>
        </w:rPr>
        <w:t>the Magistrates Court (in its various forms)</w:t>
      </w:r>
      <w:r>
        <w:rPr>
          <w:rFonts w:ascii="Times New Roman" w:hAnsi="Times New Roman"/>
          <w:sz w:val="28"/>
          <w:szCs w:val="28"/>
        </w:rPr>
        <w:t>;</w:t>
      </w:r>
    </w:p>
    <w:p w:rsidR="00187F3B" w:rsidRDefault="00187F3B" w:rsidP="00817310">
      <w:pPr>
        <w:numPr>
          <w:ilvl w:val="0"/>
          <w:numId w:val="15"/>
        </w:numPr>
        <w:ind w:left="360"/>
        <w:jc w:val="both"/>
        <w:rPr>
          <w:rFonts w:ascii="Times New Roman" w:hAnsi="Times New Roman"/>
          <w:sz w:val="28"/>
          <w:szCs w:val="28"/>
        </w:rPr>
      </w:pPr>
      <w:r>
        <w:rPr>
          <w:rFonts w:ascii="Times New Roman" w:hAnsi="Times New Roman"/>
          <w:sz w:val="28"/>
          <w:szCs w:val="28"/>
        </w:rPr>
        <w:t>t</w:t>
      </w:r>
      <w:r w:rsidR="00730372" w:rsidRPr="00A87953">
        <w:rPr>
          <w:rFonts w:ascii="Times New Roman" w:hAnsi="Times New Roman"/>
          <w:sz w:val="28"/>
          <w:szCs w:val="28"/>
        </w:rPr>
        <w:t>he Workers Rehabilitation and Compensation Tribunal</w:t>
      </w:r>
      <w:r>
        <w:rPr>
          <w:rFonts w:ascii="Times New Roman" w:hAnsi="Times New Roman"/>
          <w:sz w:val="28"/>
          <w:szCs w:val="28"/>
        </w:rPr>
        <w:t>;</w:t>
      </w:r>
    </w:p>
    <w:p w:rsidR="00187F3B" w:rsidRDefault="00730372" w:rsidP="00817310">
      <w:pPr>
        <w:numPr>
          <w:ilvl w:val="0"/>
          <w:numId w:val="15"/>
        </w:numPr>
        <w:ind w:left="360"/>
        <w:jc w:val="both"/>
        <w:rPr>
          <w:rFonts w:ascii="Times New Roman" w:hAnsi="Times New Roman"/>
          <w:sz w:val="28"/>
          <w:szCs w:val="28"/>
        </w:rPr>
      </w:pPr>
      <w:r w:rsidRPr="00A87953">
        <w:rPr>
          <w:rFonts w:ascii="Times New Roman" w:hAnsi="Times New Roman"/>
          <w:sz w:val="28"/>
          <w:szCs w:val="28"/>
        </w:rPr>
        <w:t>the Motor Accidents Compensation Tribunal</w:t>
      </w:r>
      <w:r w:rsidR="00187F3B">
        <w:rPr>
          <w:rFonts w:ascii="Times New Roman" w:hAnsi="Times New Roman"/>
          <w:sz w:val="28"/>
          <w:szCs w:val="28"/>
        </w:rPr>
        <w:t>;</w:t>
      </w:r>
    </w:p>
    <w:p w:rsidR="00187F3B" w:rsidRDefault="00730372" w:rsidP="00817310">
      <w:pPr>
        <w:numPr>
          <w:ilvl w:val="0"/>
          <w:numId w:val="15"/>
        </w:numPr>
        <w:ind w:left="360"/>
        <w:jc w:val="both"/>
        <w:rPr>
          <w:rFonts w:ascii="Times New Roman" w:hAnsi="Times New Roman"/>
          <w:sz w:val="28"/>
          <w:szCs w:val="28"/>
        </w:rPr>
      </w:pPr>
      <w:r w:rsidRPr="00A87953">
        <w:rPr>
          <w:rFonts w:ascii="Times New Roman" w:hAnsi="Times New Roman"/>
          <w:sz w:val="28"/>
          <w:szCs w:val="28"/>
        </w:rPr>
        <w:t>the Resource Management and Planning Appeal Tribunal</w:t>
      </w:r>
      <w:r w:rsidR="00187F3B">
        <w:rPr>
          <w:rFonts w:ascii="Times New Roman" w:hAnsi="Times New Roman"/>
          <w:sz w:val="28"/>
          <w:szCs w:val="28"/>
        </w:rPr>
        <w:t>; and</w:t>
      </w:r>
    </w:p>
    <w:p w:rsidR="00730372" w:rsidRPr="00A87953" w:rsidRDefault="00187F3B" w:rsidP="00817310">
      <w:pPr>
        <w:numPr>
          <w:ilvl w:val="0"/>
          <w:numId w:val="15"/>
        </w:numPr>
        <w:ind w:left="360"/>
        <w:jc w:val="both"/>
        <w:rPr>
          <w:rFonts w:ascii="Times New Roman" w:hAnsi="Times New Roman"/>
          <w:sz w:val="28"/>
          <w:szCs w:val="28"/>
        </w:rPr>
      </w:pPr>
      <w:r>
        <w:rPr>
          <w:rFonts w:ascii="Times New Roman" w:hAnsi="Times New Roman"/>
          <w:sz w:val="28"/>
          <w:szCs w:val="28"/>
        </w:rPr>
        <w:t>v</w:t>
      </w:r>
      <w:r w:rsidR="00730372" w:rsidRPr="00A87953">
        <w:rPr>
          <w:rFonts w:ascii="Times New Roman" w:hAnsi="Times New Roman"/>
          <w:sz w:val="28"/>
          <w:szCs w:val="28"/>
        </w:rPr>
        <w:t>arious professional disciplinary bodies.</w:t>
      </w:r>
    </w:p>
    <w:p w:rsidR="009F6D1D"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0232BF">
        <w:rPr>
          <w:rFonts w:ascii="Times New Roman" w:hAnsi="Times New Roman"/>
          <w:sz w:val="28"/>
          <w:szCs w:val="28"/>
        </w:rPr>
        <w:t>Why is this issue relevant to insurers?</w:t>
      </w:r>
      <w:r w:rsidR="00B73F33">
        <w:rPr>
          <w:rFonts w:ascii="Times New Roman" w:hAnsi="Times New Roman"/>
          <w:sz w:val="28"/>
          <w:szCs w:val="28"/>
        </w:rPr>
        <w:t xml:space="preserve"> </w:t>
      </w:r>
      <w:r w:rsidR="0023758F" w:rsidRPr="00A87953">
        <w:rPr>
          <w:rFonts w:ascii="Times New Roman" w:hAnsi="Times New Roman"/>
          <w:sz w:val="28"/>
          <w:szCs w:val="28"/>
        </w:rPr>
        <w:t>The question of w</w:t>
      </w:r>
      <w:r w:rsidR="004D6659" w:rsidRPr="00A87953">
        <w:rPr>
          <w:rFonts w:ascii="Times New Roman" w:hAnsi="Times New Roman"/>
          <w:sz w:val="28"/>
          <w:szCs w:val="28"/>
        </w:rPr>
        <w:t xml:space="preserve">hether a decision in one tribunal is binding on another </w:t>
      </w:r>
      <w:r w:rsidR="003A5D98" w:rsidRPr="00A87953">
        <w:rPr>
          <w:rFonts w:ascii="Times New Roman" w:hAnsi="Times New Roman"/>
          <w:sz w:val="28"/>
          <w:szCs w:val="28"/>
        </w:rPr>
        <w:t xml:space="preserve">is relevant </w:t>
      </w:r>
      <w:r w:rsidR="0023758F" w:rsidRPr="00A87953">
        <w:rPr>
          <w:rFonts w:ascii="Times New Roman" w:hAnsi="Times New Roman"/>
          <w:sz w:val="28"/>
          <w:szCs w:val="28"/>
        </w:rPr>
        <w:t xml:space="preserve">because the answer to </w:t>
      </w:r>
      <w:r w:rsidR="000232BF">
        <w:rPr>
          <w:rFonts w:ascii="Times New Roman" w:hAnsi="Times New Roman"/>
          <w:sz w:val="28"/>
          <w:szCs w:val="28"/>
        </w:rPr>
        <w:t>it</w:t>
      </w:r>
      <w:r w:rsidR="00D3650B" w:rsidRPr="00A87953">
        <w:rPr>
          <w:rFonts w:ascii="Times New Roman" w:hAnsi="Times New Roman"/>
          <w:sz w:val="28"/>
          <w:szCs w:val="28"/>
        </w:rPr>
        <w:t xml:space="preserve"> may</w:t>
      </w:r>
      <w:r w:rsidR="009F6D1D" w:rsidRPr="00A87953">
        <w:rPr>
          <w:rFonts w:ascii="Times New Roman" w:hAnsi="Times New Roman"/>
          <w:sz w:val="28"/>
          <w:szCs w:val="28"/>
        </w:rPr>
        <w:t xml:space="preserve"> affect how insurers and their advisors make forensic </w:t>
      </w:r>
      <w:r w:rsidR="0058195E" w:rsidRPr="00A87953">
        <w:rPr>
          <w:rFonts w:ascii="Times New Roman" w:hAnsi="Times New Roman"/>
          <w:sz w:val="28"/>
          <w:szCs w:val="28"/>
        </w:rPr>
        <w:t xml:space="preserve">or tactical </w:t>
      </w:r>
      <w:r w:rsidR="009F6D1D" w:rsidRPr="00A87953">
        <w:rPr>
          <w:rFonts w:ascii="Times New Roman" w:hAnsi="Times New Roman"/>
          <w:sz w:val="28"/>
          <w:szCs w:val="28"/>
        </w:rPr>
        <w:t>decisions about matters in th</w:t>
      </w:r>
      <w:r w:rsidR="00730372" w:rsidRPr="00A87953">
        <w:rPr>
          <w:rFonts w:ascii="Times New Roman" w:hAnsi="Times New Roman"/>
          <w:sz w:val="28"/>
          <w:szCs w:val="28"/>
        </w:rPr>
        <w:t>at</w:t>
      </w:r>
      <w:r w:rsidR="009F6D1D" w:rsidRPr="00A87953">
        <w:rPr>
          <w:rFonts w:ascii="Times New Roman" w:hAnsi="Times New Roman"/>
          <w:sz w:val="28"/>
          <w:szCs w:val="28"/>
        </w:rPr>
        <w:t xml:space="preserve"> tribunal</w:t>
      </w:r>
      <w:r w:rsidR="003A5D98" w:rsidRPr="00A87953">
        <w:rPr>
          <w:rFonts w:ascii="Times New Roman" w:hAnsi="Times New Roman"/>
          <w:sz w:val="28"/>
          <w:szCs w:val="28"/>
        </w:rPr>
        <w:t xml:space="preserve"> for which their insured or client may </w:t>
      </w:r>
      <w:r w:rsidR="0023758F" w:rsidRPr="00A87953">
        <w:rPr>
          <w:rFonts w:ascii="Times New Roman" w:hAnsi="Times New Roman"/>
          <w:sz w:val="28"/>
          <w:szCs w:val="28"/>
        </w:rPr>
        <w:t xml:space="preserve">later </w:t>
      </w:r>
      <w:r w:rsidR="003A5D98" w:rsidRPr="00A87953">
        <w:rPr>
          <w:rFonts w:ascii="Times New Roman" w:hAnsi="Times New Roman"/>
          <w:sz w:val="28"/>
          <w:szCs w:val="28"/>
        </w:rPr>
        <w:t>attract some other liability</w:t>
      </w:r>
      <w:r w:rsidR="004D6659" w:rsidRPr="00A87953">
        <w:rPr>
          <w:rFonts w:ascii="Times New Roman" w:hAnsi="Times New Roman"/>
          <w:sz w:val="28"/>
          <w:szCs w:val="28"/>
        </w:rPr>
        <w:t xml:space="preserve"> in </w:t>
      </w:r>
      <w:r w:rsidR="00895DA3" w:rsidRPr="00A87953">
        <w:rPr>
          <w:rFonts w:ascii="Times New Roman" w:hAnsi="Times New Roman"/>
          <w:sz w:val="28"/>
          <w:szCs w:val="28"/>
        </w:rPr>
        <w:t xml:space="preserve">a </w:t>
      </w:r>
      <w:r w:rsidR="004D6659" w:rsidRPr="00A87953">
        <w:rPr>
          <w:rFonts w:ascii="Times New Roman" w:hAnsi="Times New Roman"/>
          <w:sz w:val="28"/>
          <w:szCs w:val="28"/>
        </w:rPr>
        <w:t>separate proceeding</w:t>
      </w:r>
      <w:r w:rsidR="003A5D98" w:rsidRPr="00A87953">
        <w:rPr>
          <w:rFonts w:ascii="Times New Roman" w:hAnsi="Times New Roman"/>
          <w:sz w:val="28"/>
          <w:szCs w:val="28"/>
        </w:rPr>
        <w:t>.</w:t>
      </w:r>
      <w:r w:rsidR="00B73F33">
        <w:rPr>
          <w:rFonts w:ascii="Times New Roman" w:hAnsi="Times New Roman"/>
          <w:sz w:val="28"/>
          <w:szCs w:val="28"/>
        </w:rPr>
        <w:t xml:space="preserve"> </w:t>
      </w:r>
      <w:r w:rsidR="003A5D98" w:rsidRPr="00A87953">
        <w:rPr>
          <w:rFonts w:ascii="Times New Roman" w:hAnsi="Times New Roman"/>
          <w:sz w:val="28"/>
          <w:szCs w:val="28"/>
        </w:rPr>
        <w:t xml:space="preserve">It can work both for and against </w:t>
      </w:r>
      <w:r w:rsidR="00895DA3" w:rsidRPr="00A87953">
        <w:rPr>
          <w:rFonts w:ascii="Times New Roman" w:hAnsi="Times New Roman"/>
          <w:sz w:val="28"/>
          <w:szCs w:val="28"/>
        </w:rPr>
        <w:t>a part</w:t>
      </w:r>
      <w:r w:rsidR="003A5D98" w:rsidRPr="00A87953">
        <w:rPr>
          <w:rFonts w:ascii="Times New Roman" w:hAnsi="Times New Roman"/>
          <w:sz w:val="28"/>
          <w:szCs w:val="28"/>
        </w:rPr>
        <w:t>y.</w:t>
      </w:r>
      <w:r w:rsidR="00B73F33">
        <w:rPr>
          <w:rFonts w:ascii="Times New Roman" w:hAnsi="Times New Roman"/>
          <w:sz w:val="28"/>
          <w:szCs w:val="28"/>
        </w:rPr>
        <w:t xml:space="preserve"> </w:t>
      </w:r>
      <w:r w:rsidR="009F6D1D" w:rsidRPr="00A87953">
        <w:rPr>
          <w:rFonts w:ascii="Times New Roman" w:hAnsi="Times New Roman"/>
          <w:sz w:val="28"/>
          <w:szCs w:val="28"/>
        </w:rPr>
        <w:t>For example, a</w:t>
      </w:r>
      <w:r w:rsidR="0058195E" w:rsidRPr="00A87953">
        <w:rPr>
          <w:rFonts w:ascii="Times New Roman" w:hAnsi="Times New Roman"/>
          <w:sz w:val="28"/>
          <w:szCs w:val="28"/>
        </w:rPr>
        <w:t>n</w:t>
      </w:r>
      <w:r w:rsidR="009F6D1D" w:rsidRPr="00A87953">
        <w:rPr>
          <w:rFonts w:ascii="Times New Roman" w:hAnsi="Times New Roman"/>
          <w:sz w:val="28"/>
          <w:szCs w:val="28"/>
        </w:rPr>
        <w:t xml:space="preserve"> advisor may consider that it </w:t>
      </w:r>
      <w:r w:rsidR="00A90E69">
        <w:rPr>
          <w:rFonts w:ascii="Times New Roman" w:hAnsi="Times New Roman"/>
          <w:sz w:val="28"/>
          <w:szCs w:val="28"/>
        </w:rPr>
        <w:t xml:space="preserve">is </w:t>
      </w:r>
      <w:r w:rsidR="009F6D1D" w:rsidRPr="00A87953">
        <w:rPr>
          <w:rFonts w:ascii="Times New Roman" w:hAnsi="Times New Roman"/>
          <w:sz w:val="28"/>
          <w:szCs w:val="28"/>
        </w:rPr>
        <w:t>possible to obtain an inexpensive, quick and binding determination of an issue in an inferior tribunal</w:t>
      </w:r>
      <w:r w:rsidR="006512C9" w:rsidRPr="00A87953">
        <w:rPr>
          <w:rFonts w:ascii="Times New Roman" w:hAnsi="Times New Roman"/>
          <w:sz w:val="28"/>
          <w:szCs w:val="28"/>
        </w:rPr>
        <w:t xml:space="preserve">, and </w:t>
      </w:r>
      <w:r w:rsidR="007A0C4F" w:rsidRPr="00A87953">
        <w:rPr>
          <w:rFonts w:ascii="Times New Roman" w:hAnsi="Times New Roman"/>
          <w:sz w:val="28"/>
          <w:szCs w:val="28"/>
        </w:rPr>
        <w:t xml:space="preserve">so </w:t>
      </w:r>
      <w:r w:rsidR="006512C9" w:rsidRPr="00A87953">
        <w:rPr>
          <w:rFonts w:ascii="Times New Roman" w:hAnsi="Times New Roman"/>
          <w:sz w:val="28"/>
          <w:szCs w:val="28"/>
        </w:rPr>
        <w:t>avoid the need</w:t>
      </w:r>
      <w:r w:rsidR="007A0C4F" w:rsidRPr="00A87953">
        <w:rPr>
          <w:rFonts w:ascii="Times New Roman" w:hAnsi="Times New Roman"/>
          <w:sz w:val="28"/>
          <w:szCs w:val="28"/>
        </w:rPr>
        <w:t>, at least in part,</w:t>
      </w:r>
      <w:r w:rsidR="006512C9" w:rsidRPr="00A87953">
        <w:rPr>
          <w:rFonts w:ascii="Times New Roman" w:hAnsi="Times New Roman"/>
          <w:sz w:val="28"/>
          <w:szCs w:val="28"/>
        </w:rPr>
        <w:t xml:space="preserve"> </w:t>
      </w:r>
      <w:r w:rsidR="007A0C4F" w:rsidRPr="00A87953">
        <w:rPr>
          <w:rFonts w:ascii="Times New Roman" w:hAnsi="Times New Roman"/>
          <w:sz w:val="28"/>
          <w:szCs w:val="28"/>
        </w:rPr>
        <w:t xml:space="preserve">for </w:t>
      </w:r>
      <w:r w:rsidR="006512C9" w:rsidRPr="00A87953">
        <w:rPr>
          <w:rFonts w:ascii="Times New Roman" w:hAnsi="Times New Roman"/>
          <w:sz w:val="28"/>
          <w:szCs w:val="28"/>
        </w:rPr>
        <w:t xml:space="preserve">later more expensive and time consuming </w:t>
      </w:r>
      <w:r w:rsidR="006512C9" w:rsidRPr="00A87953">
        <w:rPr>
          <w:rFonts w:ascii="Times New Roman" w:hAnsi="Times New Roman"/>
          <w:sz w:val="28"/>
          <w:szCs w:val="28"/>
        </w:rPr>
        <w:lastRenderedPageBreak/>
        <w:t>proceedings.</w:t>
      </w:r>
      <w:r w:rsidR="00B73F33">
        <w:rPr>
          <w:rFonts w:ascii="Times New Roman" w:hAnsi="Times New Roman"/>
          <w:sz w:val="28"/>
          <w:szCs w:val="28"/>
        </w:rPr>
        <w:t xml:space="preserve"> </w:t>
      </w:r>
      <w:r w:rsidR="006512C9" w:rsidRPr="00A87953">
        <w:rPr>
          <w:rFonts w:ascii="Times New Roman" w:hAnsi="Times New Roman"/>
          <w:sz w:val="28"/>
          <w:szCs w:val="28"/>
        </w:rPr>
        <w:t>It can present a saving in time and cost</w:t>
      </w:r>
      <w:r w:rsidR="009F6D1D" w:rsidRPr="00A87953">
        <w:rPr>
          <w:rFonts w:ascii="Times New Roman" w:hAnsi="Times New Roman"/>
          <w:sz w:val="28"/>
          <w:szCs w:val="28"/>
        </w:rPr>
        <w:t>.</w:t>
      </w:r>
      <w:r w:rsidR="00B73F33">
        <w:rPr>
          <w:rFonts w:ascii="Times New Roman" w:hAnsi="Times New Roman"/>
          <w:sz w:val="28"/>
          <w:szCs w:val="28"/>
        </w:rPr>
        <w:t xml:space="preserve"> </w:t>
      </w:r>
      <w:r w:rsidR="009F6D1D" w:rsidRPr="00A87953">
        <w:rPr>
          <w:rFonts w:ascii="Times New Roman" w:hAnsi="Times New Roman"/>
          <w:sz w:val="28"/>
          <w:szCs w:val="28"/>
        </w:rPr>
        <w:t xml:space="preserve">On the other hand, a party may wish to avoid </w:t>
      </w:r>
      <w:r w:rsidR="00EF1F09" w:rsidRPr="00A87953">
        <w:rPr>
          <w:rFonts w:ascii="Times New Roman" w:hAnsi="Times New Roman"/>
          <w:sz w:val="28"/>
          <w:szCs w:val="28"/>
        </w:rPr>
        <w:t xml:space="preserve">the possibility of a determination which may </w:t>
      </w:r>
      <w:r w:rsidR="009F6D1D" w:rsidRPr="00A87953">
        <w:rPr>
          <w:rFonts w:ascii="Times New Roman" w:hAnsi="Times New Roman"/>
          <w:sz w:val="28"/>
          <w:szCs w:val="28"/>
        </w:rPr>
        <w:t>prejudice their position in other proceedings.</w:t>
      </w:r>
      <w:r w:rsidR="00B73F33">
        <w:rPr>
          <w:rFonts w:ascii="Times New Roman" w:hAnsi="Times New Roman"/>
          <w:sz w:val="28"/>
          <w:szCs w:val="28"/>
        </w:rPr>
        <w:t xml:space="preserve"> </w:t>
      </w:r>
      <w:r w:rsidR="006512C9" w:rsidRPr="00A87953">
        <w:rPr>
          <w:rFonts w:ascii="Times New Roman" w:hAnsi="Times New Roman"/>
          <w:sz w:val="28"/>
          <w:szCs w:val="28"/>
        </w:rPr>
        <w:t xml:space="preserve">For example, a party facing a potentially substantial damages claim may wish to avoid the risk of an adverse finding in some preliminary or less important proceedings </w:t>
      </w:r>
      <w:r w:rsidR="007A0C4F" w:rsidRPr="00A87953">
        <w:rPr>
          <w:rFonts w:ascii="Times New Roman" w:hAnsi="Times New Roman"/>
          <w:sz w:val="28"/>
          <w:szCs w:val="28"/>
        </w:rPr>
        <w:t>that may be binding.</w:t>
      </w:r>
      <w:r w:rsidR="00B73F33">
        <w:rPr>
          <w:rFonts w:ascii="Times New Roman" w:hAnsi="Times New Roman"/>
          <w:sz w:val="28"/>
          <w:szCs w:val="28"/>
        </w:rPr>
        <w:t xml:space="preserve"> </w:t>
      </w:r>
      <w:r w:rsidR="007A0C4F" w:rsidRPr="00A87953">
        <w:rPr>
          <w:rFonts w:ascii="Times New Roman" w:hAnsi="Times New Roman"/>
          <w:sz w:val="28"/>
          <w:szCs w:val="28"/>
        </w:rPr>
        <w:t>Recognition of that risk allows decisions to be made about somehow resolving them, or otherwise devoting appropriate resources to them with the future in mind.</w:t>
      </w:r>
    </w:p>
    <w:p w:rsidR="009D4F98"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9F6D1D" w:rsidRPr="00A87953">
        <w:rPr>
          <w:rFonts w:ascii="Times New Roman" w:hAnsi="Times New Roman"/>
          <w:sz w:val="28"/>
          <w:szCs w:val="28"/>
        </w:rPr>
        <w:t xml:space="preserve">I </w:t>
      </w:r>
      <w:r w:rsidR="0058195E" w:rsidRPr="00A87953">
        <w:rPr>
          <w:rFonts w:ascii="Times New Roman" w:hAnsi="Times New Roman"/>
          <w:sz w:val="28"/>
          <w:szCs w:val="28"/>
        </w:rPr>
        <w:t>will</w:t>
      </w:r>
      <w:r w:rsidR="009F6D1D" w:rsidRPr="00A87953">
        <w:rPr>
          <w:rFonts w:ascii="Times New Roman" w:hAnsi="Times New Roman"/>
          <w:sz w:val="28"/>
          <w:szCs w:val="28"/>
        </w:rPr>
        <w:t>, first, refer to and explain the legal principle underlying the issue</w:t>
      </w:r>
      <w:r w:rsidR="0058195E" w:rsidRPr="00A87953">
        <w:rPr>
          <w:rFonts w:ascii="Times New Roman" w:hAnsi="Times New Roman"/>
          <w:sz w:val="28"/>
          <w:szCs w:val="28"/>
        </w:rPr>
        <w:t>.</w:t>
      </w:r>
      <w:r w:rsidR="00B73F33">
        <w:rPr>
          <w:rFonts w:ascii="Times New Roman" w:hAnsi="Times New Roman"/>
          <w:sz w:val="28"/>
          <w:szCs w:val="28"/>
        </w:rPr>
        <w:t xml:space="preserve"> </w:t>
      </w:r>
      <w:r w:rsidR="0058195E" w:rsidRPr="00A87953">
        <w:rPr>
          <w:rFonts w:ascii="Times New Roman" w:hAnsi="Times New Roman"/>
          <w:sz w:val="28"/>
          <w:szCs w:val="28"/>
        </w:rPr>
        <w:t xml:space="preserve">I will then explain when it </w:t>
      </w:r>
      <w:r w:rsidR="00EA0387" w:rsidRPr="00A87953">
        <w:rPr>
          <w:rFonts w:ascii="Times New Roman" w:hAnsi="Times New Roman"/>
          <w:sz w:val="28"/>
          <w:szCs w:val="28"/>
        </w:rPr>
        <w:t xml:space="preserve">may </w:t>
      </w:r>
      <w:r w:rsidR="0058195E" w:rsidRPr="00A87953">
        <w:rPr>
          <w:rFonts w:ascii="Times New Roman" w:hAnsi="Times New Roman"/>
          <w:sz w:val="28"/>
          <w:szCs w:val="28"/>
        </w:rPr>
        <w:t xml:space="preserve">operate, </w:t>
      </w:r>
      <w:r w:rsidR="009F6D1D" w:rsidRPr="00A87953">
        <w:rPr>
          <w:rFonts w:ascii="Times New Roman" w:hAnsi="Times New Roman"/>
          <w:sz w:val="28"/>
          <w:szCs w:val="28"/>
        </w:rPr>
        <w:t>and then apply the principles to the situa</w:t>
      </w:r>
      <w:r w:rsidR="009D4F98" w:rsidRPr="00A87953">
        <w:rPr>
          <w:rFonts w:ascii="Times New Roman" w:hAnsi="Times New Roman"/>
          <w:sz w:val="28"/>
          <w:szCs w:val="28"/>
        </w:rPr>
        <w:t>tions I have referred to.</w:t>
      </w:r>
    </w:p>
    <w:p w:rsidR="00EF1F09" w:rsidRPr="00A87953" w:rsidRDefault="00EF1F09" w:rsidP="00817310">
      <w:pPr>
        <w:jc w:val="both"/>
        <w:rPr>
          <w:rFonts w:ascii="Times New Roman" w:hAnsi="Times New Roman"/>
          <w:sz w:val="28"/>
          <w:szCs w:val="28"/>
        </w:rPr>
      </w:pPr>
    </w:p>
    <w:p w:rsidR="009D4F98" w:rsidRPr="00A87953" w:rsidRDefault="009D4F98" w:rsidP="00817310">
      <w:pPr>
        <w:jc w:val="both"/>
        <w:rPr>
          <w:rFonts w:ascii="Times New Roman" w:hAnsi="Times New Roman"/>
          <w:b/>
          <w:bCs/>
          <w:sz w:val="28"/>
          <w:szCs w:val="28"/>
        </w:rPr>
      </w:pPr>
      <w:r w:rsidRPr="00A87953">
        <w:rPr>
          <w:rFonts w:ascii="Times New Roman" w:hAnsi="Times New Roman"/>
          <w:b/>
          <w:bCs/>
          <w:sz w:val="28"/>
          <w:szCs w:val="28"/>
        </w:rPr>
        <w:t>Issue Estoppel</w:t>
      </w:r>
    </w:p>
    <w:p w:rsidR="009F6D1D"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9F6D1D" w:rsidRPr="00A87953">
        <w:rPr>
          <w:rFonts w:ascii="Times New Roman" w:hAnsi="Times New Roman"/>
          <w:sz w:val="28"/>
          <w:szCs w:val="28"/>
        </w:rPr>
        <w:t xml:space="preserve">The issue </w:t>
      </w:r>
      <w:r w:rsidR="00257764" w:rsidRPr="00A87953">
        <w:rPr>
          <w:rFonts w:ascii="Times New Roman" w:hAnsi="Times New Roman"/>
          <w:sz w:val="28"/>
          <w:szCs w:val="28"/>
        </w:rPr>
        <w:t xml:space="preserve">I </w:t>
      </w:r>
      <w:r w:rsidR="004B5A9D" w:rsidRPr="00A87953">
        <w:rPr>
          <w:rFonts w:ascii="Times New Roman" w:hAnsi="Times New Roman"/>
          <w:sz w:val="28"/>
          <w:szCs w:val="28"/>
        </w:rPr>
        <w:t>address is known as</w:t>
      </w:r>
      <w:r w:rsidR="00257764" w:rsidRPr="00A87953">
        <w:rPr>
          <w:rFonts w:ascii="Times New Roman" w:hAnsi="Times New Roman"/>
          <w:sz w:val="28"/>
          <w:szCs w:val="28"/>
        </w:rPr>
        <w:t xml:space="preserve"> issue estoppel.</w:t>
      </w:r>
      <w:r w:rsidR="00B73F33">
        <w:rPr>
          <w:rFonts w:ascii="Times New Roman" w:hAnsi="Times New Roman"/>
          <w:sz w:val="28"/>
          <w:szCs w:val="28"/>
        </w:rPr>
        <w:t xml:space="preserve"> </w:t>
      </w:r>
      <w:r w:rsidR="00EF1F09" w:rsidRPr="00A87953">
        <w:rPr>
          <w:rFonts w:ascii="Times New Roman" w:hAnsi="Times New Roman"/>
          <w:sz w:val="28"/>
          <w:szCs w:val="28"/>
        </w:rPr>
        <w:t xml:space="preserve">An estoppel is a principle of law that prevents a person from doing something </w:t>
      </w:r>
      <w:r w:rsidR="008E74F7" w:rsidRPr="00A87953">
        <w:rPr>
          <w:rFonts w:ascii="Times New Roman" w:hAnsi="Times New Roman"/>
          <w:sz w:val="28"/>
          <w:szCs w:val="28"/>
        </w:rPr>
        <w:t>that person</w:t>
      </w:r>
      <w:r w:rsidR="00EF1F09" w:rsidRPr="00A87953">
        <w:rPr>
          <w:rFonts w:ascii="Times New Roman" w:hAnsi="Times New Roman"/>
          <w:sz w:val="28"/>
          <w:szCs w:val="28"/>
        </w:rPr>
        <w:t xml:space="preserve"> would otherwise be entitled to do.</w:t>
      </w:r>
      <w:r w:rsidR="00B73F33">
        <w:rPr>
          <w:rFonts w:ascii="Times New Roman" w:hAnsi="Times New Roman"/>
          <w:sz w:val="28"/>
          <w:szCs w:val="28"/>
        </w:rPr>
        <w:t xml:space="preserve"> </w:t>
      </w:r>
      <w:r w:rsidR="00EF1F09" w:rsidRPr="00A87953">
        <w:rPr>
          <w:rFonts w:ascii="Times New Roman" w:hAnsi="Times New Roman"/>
          <w:sz w:val="28"/>
          <w:szCs w:val="28"/>
        </w:rPr>
        <w:t xml:space="preserve">An issue </w:t>
      </w:r>
      <w:r w:rsidR="009E4F8D" w:rsidRPr="00A87953">
        <w:rPr>
          <w:rFonts w:ascii="Times New Roman" w:hAnsi="Times New Roman"/>
          <w:sz w:val="28"/>
          <w:szCs w:val="28"/>
        </w:rPr>
        <w:t xml:space="preserve">estoppel </w:t>
      </w:r>
      <w:r w:rsidR="00EF1F09" w:rsidRPr="00A87953">
        <w:rPr>
          <w:rFonts w:ascii="Times New Roman" w:hAnsi="Times New Roman"/>
          <w:sz w:val="28"/>
          <w:szCs w:val="28"/>
        </w:rPr>
        <w:t xml:space="preserve">prevents a party from having the </w:t>
      </w:r>
      <w:r w:rsidR="009E4F8D" w:rsidRPr="00A87953">
        <w:rPr>
          <w:rFonts w:ascii="Times New Roman" w:hAnsi="Times New Roman"/>
          <w:sz w:val="28"/>
          <w:szCs w:val="28"/>
        </w:rPr>
        <w:t>same issue determined more than once.</w:t>
      </w:r>
      <w:r w:rsidR="00B73F33">
        <w:rPr>
          <w:rFonts w:ascii="Times New Roman" w:hAnsi="Times New Roman"/>
          <w:sz w:val="28"/>
          <w:szCs w:val="28"/>
        </w:rPr>
        <w:t xml:space="preserve"> </w:t>
      </w:r>
      <w:r w:rsidR="009E4F8D" w:rsidRPr="00A87953">
        <w:rPr>
          <w:rFonts w:ascii="Times New Roman" w:hAnsi="Times New Roman"/>
          <w:sz w:val="28"/>
          <w:szCs w:val="28"/>
        </w:rPr>
        <w:t>There are obvious reasons for this.</w:t>
      </w:r>
      <w:r w:rsidR="00B73F33">
        <w:rPr>
          <w:rFonts w:ascii="Times New Roman" w:hAnsi="Times New Roman"/>
          <w:sz w:val="28"/>
          <w:szCs w:val="28"/>
        </w:rPr>
        <w:t xml:space="preserve"> </w:t>
      </w:r>
      <w:r w:rsidR="009E4F8D" w:rsidRPr="00A87953">
        <w:rPr>
          <w:rFonts w:ascii="Times New Roman" w:hAnsi="Times New Roman"/>
          <w:sz w:val="28"/>
          <w:szCs w:val="28"/>
        </w:rPr>
        <w:t xml:space="preserve">It prevents the undesirable situation of different courts and tribunals coming to different and conflicting conclusions </w:t>
      </w:r>
      <w:r w:rsidR="000F2206" w:rsidRPr="00A87953">
        <w:rPr>
          <w:rFonts w:ascii="Times New Roman" w:hAnsi="Times New Roman"/>
          <w:sz w:val="28"/>
          <w:szCs w:val="28"/>
        </w:rPr>
        <w:t xml:space="preserve">on the same issue </w:t>
      </w:r>
      <w:r w:rsidR="009E4F8D" w:rsidRPr="00A87953">
        <w:rPr>
          <w:rFonts w:ascii="Times New Roman" w:hAnsi="Times New Roman"/>
          <w:sz w:val="28"/>
          <w:szCs w:val="28"/>
        </w:rPr>
        <w:t>and encourages the finality of judgments.</w:t>
      </w:r>
      <w:r w:rsidR="00B73F33">
        <w:rPr>
          <w:rFonts w:ascii="Times New Roman" w:hAnsi="Times New Roman"/>
          <w:sz w:val="28"/>
          <w:szCs w:val="28"/>
        </w:rPr>
        <w:t xml:space="preserve"> </w:t>
      </w:r>
      <w:r w:rsidR="00FA4EE1" w:rsidRPr="00A87953">
        <w:rPr>
          <w:rFonts w:ascii="Times New Roman" w:hAnsi="Times New Roman"/>
          <w:sz w:val="28"/>
          <w:szCs w:val="28"/>
        </w:rPr>
        <w:t xml:space="preserve">Issue estoppel operates to prevent, in some circumstances, </w:t>
      </w:r>
      <w:r w:rsidR="00FA4EE1" w:rsidRPr="00A87953">
        <w:rPr>
          <w:rFonts w:ascii="Times New Roman" w:hAnsi="Times New Roman"/>
          <w:sz w:val="28"/>
          <w:szCs w:val="28"/>
          <w:lang w:val="en"/>
        </w:rPr>
        <w:t>an issue of fact or of law</w:t>
      </w:r>
      <w:r w:rsidR="00E75A36" w:rsidRPr="00A87953">
        <w:rPr>
          <w:rFonts w:ascii="Times New Roman" w:hAnsi="Times New Roman"/>
          <w:sz w:val="28"/>
          <w:szCs w:val="28"/>
          <w:lang w:val="en"/>
        </w:rPr>
        <w:t xml:space="preserve"> already determined</w:t>
      </w:r>
      <w:r w:rsidR="00FA4EE1" w:rsidRPr="00A87953">
        <w:rPr>
          <w:rFonts w:ascii="Times New Roman" w:hAnsi="Times New Roman"/>
          <w:sz w:val="28"/>
          <w:szCs w:val="28"/>
          <w:lang w:val="en"/>
        </w:rPr>
        <w:t xml:space="preserve"> being raised </w:t>
      </w:r>
      <w:r w:rsidR="00E75A36" w:rsidRPr="00A87953">
        <w:rPr>
          <w:rFonts w:ascii="Times New Roman" w:hAnsi="Times New Roman"/>
          <w:sz w:val="28"/>
          <w:szCs w:val="28"/>
          <w:lang w:val="en"/>
        </w:rPr>
        <w:t xml:space="preserve">again </w:t>
      </w:r>
      <w:r w:rsidR="00FA4EE1" w:rsidRPr="00A87953">
        <w:rPr>
          <w:rFonts w:ascii="Times New Roman" w:hAnsi="Times New Roman"/>
          <w:sz w:val="28"/>
          <w:szCs w:val="28"/>
          <w:lang w:val="en"/>
        </w:rPr>
        <w:t>later to pursue some other claim or cause of action.</w:t>
      </w:r>
      <w:r w:rsidR="00B73F33">
        <w:rPr>
          <w:rFonts w:ascii="Times New Roman" w:hAnsi="Times New Roman"/>
          <w:sz w:val="28"/>
          <w:szCs w:val="28"/>
          <w:lang w:val="en"/>
        </w:rPr>
        <w:t xml:space="preserve"> </w:t>
      </w:r>
      <w:r w:rsidR="00257764" w:rsidRPr="00A87953">
        <w:rPr>
          <w:rFonts w:ascii="Times New Roman" w:hAnsi="Times New Roman"/>
          <w:sz w:val="28"/>
          <w:szCs w:val="28"/>
        </w:rPr>
        <w:t xml:space="preserve">It </w:t>
      </w:r>
      <w:r w:rsidR="00FA4EE1" w:rsidRPr="00A87953">
        <w:rPr>
          <w:rFonts w:ascii="Times New Roman" w:hAnsi="Times New Roman"/>
          <w:sz w:val="28"/>
          <w:szCs w:val="28"/>
        </w:rPr>
        <w:t xml:space="preserve">is different to </w:t>
      </w:r>
      <w:r w:rsidR="00FA4EE1" w:rsidRPr="00A90E69">
        <w:rPr>
          <w:rFonts w:ascii="Times New Roman" w:hAnsi="Times New Roman"/>
          <w:i/>
          <w:sz w:val="28"/>
          <w:szCs w:val="28"/>
        </w:rPr>
        <w:t>res judicata</w:t>
      </w:r>
      <w:r w:rsidR="00FA4EE1" w:rsidRPr="00A87953">
        <w:rPr>
          <w:rFonts w:ascii="Times New Roman" w:hAnsi="Times New Roman"/>
          <w:sz w:val="28"/>
          <w:szCs w:val="28"/>
        </w:rPr>
        <w:t xml:space="preserve"> which relates to the cause of action itself being finally determined.</w:t>
      </w:r>
      <w:r w:rsidR="00B73F33">
        <w:rPr>
          <w:rFonts w:ascii="Times New Roman" w:hAnsi="Times New Roman"/>
          <w:sz w:val="28"/>
          <w:szCs w:val="28"/>
        </w:rPr>
        <w:t xml:space="preserve"> </w:t>
      </w:r>
      <w:r w:rsidR="00FA4EE1" w:rsidRPr="00A87953">
        <w:rPr>
          <w:rFonts w:ascii="Times New Roman" w:hAnsi="Times New Roman"/>
          <w:sz w:val="28"/>
          <w:szCs w:val="28"/>
        </w:rPr>
        <w:t>Issue estoppel concerns issues necessarily involved in the cause of action.</w:t>
      </w:r>
    </w:p>
    <w:p w:rsidR="00257764"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1F21EA" w:rsidRPr="00A87953">
        <w:rPr>
          <w:rFonts w:ascii="Times New Roman" w:hAnsi="Times New Roman"/>
          <w:sz w:val="28"/>
          <w:szCs w:val="28"/>
        </w:rPr>
        <w:t xml:space="preserve">Dixon J </w:t>
      </w:r>
      <w:r w:rsidR="00912BBC" w:rsidRPr="00A87953">
        <w:rPr>
          <w:rFonts w:ascii="Times New Roman" w:hAnsi="Times New Roman"/>
          <w:sz w:val="28"/>
          <w:szCs w:val="28"/>
        </w:rPr>
        <w:t xml:space="preserve">explained this </w:t>
      </w:r>
      <w:r w:rsidR="001F21EA" w:rsidRPr="00A87953">
        <w:rPr>
          <w:rFonts w:ascii="Times New Roman" w:hAnsi="Times New Roman"/>
          <w:sz w:val="28"/>
          <w:szCs w:val="28"/>
        </w:rPr>
        <w:t xml:space="preserve">in the High Court in 1939 in </w:t>
      </w:r>
      <w:r w:rsidR="00257764" w:rsidRPr="00A87953">
        <w:rPr>
          <w:rFonts w:ascii="Times New Roman" w:hAnsi="Times New Roman"/>
          <w:i/>
          <w:iCs/>
          <w:sz w:val="28"/>
          <w:szCs w:val="28"/>
        </w:rPr>
        <w:t>Blair v Curran</w:t>
      </w:r>
      <w:r w:rsidR="00257764" w:rsidRPr="00A87953">
        <w:rPr>
          <w:rFonts w:ascii="Times New Roman" w:hAnsi="Times New Roman"/>
          <w:sz w:val="28"/>
          <w:szCs w:val="28"/>
        </w:rPr>
        <w:t xml:space="preserve"> </w:t>
      </w:r>
      <w:r w:rsidR="001F21EA" w:rsidRPr="00A87953">
        <w:rPr>
          <w:rStyle w:val="FootnoteReference"/>
          <w:rFonts w:ascii="Times New Roman" w:hAnsi="Times New Roman"/>
          <w:sz w:val="28"/>
          <w:szCs w:val="28"/>
        </w:rPr>
        <w:footnoteReference w:id="1"/>
      </w:r>
      <w:r w:rsidR="00257764" w:rsidRPr="00A87953">
        <w:rPr>
          <w:rFonts w:ascii="Times New Roman" w:hAnsi="Times New Roman"/>
          <w:sz w:val="28"/>
          <w:szCs w:val="28"/>
        </w:rPr>
        <w:t>:</w:t>
      </w:r>
    </w:p>
    <w:p w:rsidR="00257764" w:rsidRPr="00A87953" w:rsidRDefault="00257764" w:rsidP="00817310">
      <w:pPr>
        <w:ind w:left="720"/>
        <w:jc w:val="both"/>
        <w:rPr>
          <w:rFonts w:ascii="Times New Roman" w:hAnsi="Times New Roman"/>
          <w:sz w:val="28"/>
          <w:szCs w:val="28"/>
        </w:rPr>
      </w:pPr>
      <w:r w:rsidRPr="00A87953">
        <w:rPr>
          <w:rFonts w:ascii="Times New Roman" w:hAnsi="Times New Roman"/>
          <w:sz w:val="28"/>
          <w:szCs w:val="28"/>
        </w:rPr>
        <w:t>"A judicial determination directly involving an issue of fact or of law disposes once for all of the issue, so that it cannot afterwards be raised between the same parties or their privies</w:t>
      </w:r>
      <w:r w:rsidR="00817310">
        <w:rPr>
          <w:rFonts w:ascii="Times New Roman" w:hAnsi="Times New Roman"/>
          <w:sz w:val="28"/>
          <w:szCs w:val="28"/>
        </w:rPr>
        <w:t xml:space="preserve">. … </w:t>
      </w:r>
      <w:r w:rsidRPr="00A87953">
        <w:rPr>
          <w:rFonts w:ascii="Times New Roman" w:hAnsi="Times New Roman"/>
          <w:sz w:val="28"/>
          <w:szCs w:val="28"/>
        </w:rPr>
        <w:t xml:space="preserve">The distinction between </w:t>
      </w:r>
      <w:r w:rsidRPr="00A87953">
        <w:rPr>
          <w:rFonts w:ascii="Times New Roman" w:hAnsi="Times New Roman"/>
          <w:i/>
          <w:iCs/>
          <w:sz w:val="28"/>
          <w:szCs w:val="28"/>
        </w:rPr>
        <w:t>res judicata</w:t>
      </w:r>
      <w:r w:rsidRPr="00A87953">
        <w:rPr>
          <w:rFonts w:ascii="Times New Roman" w:hAnsi="Times New Roman"/>
          <w:sz w:val="28"/>
          <w:szCs w:val="28"/>
        </w:rPr>
        <w:t xml:space="preserve"> and issue estoppel is that in the first the very right or cause of action claimed or put in suit has in the former proceedings passed into judgment, so that it is merged and has no longer an independent existence, while in the second, for the purpose of some other claim or cause of action, </w:t>
      </w:r>
      <w:r w:rsidRPr="00A87953">
        <w:rPr>
          <w:rFonts w:ascii="Times New Roman" w:hAnsi="Times New Roman"/>
          <w:sz w:val="28"/>
          <w:szCs w:val="28"/>
        </w:rPr>
        <w:lastRenderedPageBreak/>
        <w:t>a state of fact or law is alleged or denied the existence of which is a matter necessarily decided by the p</w:t>
      </w:r>
      <w:r w:rsidR="00F45831" w:rsidRPr="00A87953">
        <w:rPr>
          <w:rFonts w:ascii="Times New Roman" w:hAnsi="Times New Roman"/>
          <w:sz w:val="28"/>
          <w:szCs w:val="28"/>
        </w:rPr>
        <w:t>rior judgment, decree or order."</w:t>
      </w:r>
    </w:p>
    <w:p w:rsidR="009F6D1D" w:rsidRPr="00A87953" w:rsidRDefault="00E4607E" w:rsidP="00817310">
      <w:pPr>
        <w:jc w:val="both"/>
        <w:rPr>
          <w:rFonts w:ascii="Times New Roman" w:hAnsi="Times New Roman"/>
          <w:sz w:val="28"/>
          <w:szCs w:val="28"/>
          <w:lang w:val="en"/>
        </w:rPr>
      </w:pPr>
      <w:r w:rsidRPr="00A87953">
        <w:rPr>
          <w:rFonts w:ascii="Times New Roman" w:hAnsi="Times New Roman"/>
          <w:sz w:val="28"/>
          <w:szCs w:val="28"/>
          <w:lang w:val="en"/>
        </w:rPr>
        <w:tab/>
      </w:r>
      <w:r w:rsidR="00B502F1" w:rsidRPr="00A87953">
        <w:rPr>
          <w:rFonts w:ascii="Times New Roman" w:hAnsi="Times New Roman"/>
          <w:sz w:val="28"/>
          <w:szCs w:val="28"/>
          <w:lang w:val="en"/>
        </w:rPr>
        <w:t>An extension to issue estoppel is what has become known as an "</w:t>
      </w:r>
      <w:r w:rsidR="00B502F1" w:rsidRPr="00A87953">
        <w:rPr>
          <w:rFonts w:ascii="Times New Roman" w:hAnsi="Times New Roman"/>
          <w:i/>
          <w:sz w:val="28"/>
          <w:szCs w:val="28"/>
          <w:lang w:val="en"/>
        </w:rPr>
        <w:t>Anshun</w:t>
      </w:r>
      <w:r w:rsidR="00B502F1" w:rsidRPr="00A87953">
        <w:rPr>
          <w:rFonts w:ascii="Times New Roman" w:hAnsi="Times New Roman"/>
          <w:sz w:val="28"/>
          <w:szCs w:val="28"/>
          <w:lang w:val="en"/>
        </w:rPr>
        <w:t xml:space="preserve"> estoppel".</w:t>
      </w:r>
      <w:r w:rsidR="00B73F33">
        <w:rPr>
          <w:rFonts w:ascii="Times New Roman" w:hAnsi="Times New Roman"/>
          <w:sz w:val="28"/>
          <w:szCs w:val="28"/>
          <w:lang w:val="en"/>
        </w:rPr>
        <w:t xml:space="preserve"> </w:t>
      </w:r>
      <w:r w:rsidR="00B502F1" w:rsidRPr="00A87953">
        <w:rPr>
          <w:rFonts w:ascii="Times New Roman" w:hAnsi="Times New Roman"/>
          <w:sz w:val="28"/>
          <w:szCs w:val="28"/>
          <w:lang w:val="en"/>
        </w:rPr>
        <w:t xml:space="preserve">It is a reference to the decision in </w:t>
      </w:r>
      <w:r w:rsidR="00B502F1" w:rsidRPr="00A87953">
        <w:rPr>
          <w:rFonts w:ascii="Times New Roman" w:hAnsi="Times New Roman"/>
          <w:i/>
          <w:iCs/>
          <w:sz w:val="28"/>
          <w:szCs w:val="28"/>
          <w:lang w:val="en"/>
        </w:rPr>
        <w:t>Port of Melbourne Authority v Anshun Pty Ltd</w:t>
      </w:r>
      <w:r w:rsidR="00B502F1" w:rsidRPr="00A87953">
        <w:rPr>
          <w:rFonts w:ascii="Times New Roman" w:hAnsi="Times New Roman"/>
          <w:sz w:val="28"/>
          <w:szCs w:val="28"/>
          <w:lang w:val="en"/>
        </w:rPr>
        <w:t xml:space="preserve"> </w:t>
      </w:r>
      <w:r w:rsidR="00F3238B" w:rsidRPr="00A87953">
        <w:rPr>
          <w:rStyle w:val="FootnoteReference"/>
          <w:rFonts w:ascii="Times New Roman" w:hAnsi="Times New Roman"/>
          <w:sz w:val="28"/>
          <w:szCs w:val="28"/>
          <w:lang w:val="en"/>
        </w:rPr>
        <w:footnoteReference w:id="2"/>
      </w:r>
      <w:r w:rsidR="00F3238B" w:rsidRPr="00A87953">
        <w:rPr>
          <w:rFonts w:ascii="Times New Roman" w:hAnsi="Times New Roman"/>
          <w:sz w:val="28"/>
          <w:szCs w:val="28"/>
          <w:lang w:val="en"/>
        </w:rPr>
        <w:t xml:space="preserve"> </w:t>
      </w:r>
      <w:r w:rsidR="00B502F1" w:rsidRPr="00A87953">
        <w:rPr>
          <w:rFonts w:ascii="Times New Roman" w:hAnsi="Times New Roman"/>
          <w:sz w:val="28"/>
          <w:szCs w:val="28"/>
          <w:lang w:val="en"/>
        </w:rPr>
        <w:t xml:space="preserve">which is authority for the proposition that </w:t>
      </w:r>
      <w:r w:rsidR="00CD1240" w:rsidRPr="00A87953">
        <w:rPr>
          <w:rFonts w:ascii="Times New Roman" w:hAnsi="Times New Roman"/>
          <w:sz w:val="28"/>
          <w:szCs w:val="28"/>
          <w:lang w:val="en"/>
        </w:rPr>
        <w:t xml:space="preserve">if </w:t>
      </w:r>
      <w:r w:rsidR="00B502F1" w:rsidRPr="00A87953">
        <w:rPr>
          <w:rFonts w:ascii="Times New Roman" w:hAnsi="Times New Roman"/>
          <w:sz w:val="28"/>
          <w:szCs w:val="28"/>
          <w:lang w:val="en"/>
        </w:rPr>
        <w:t xml:space="preserve">matters were not raised </w:t>
      </w:r>
      <w:r w:rsidR="00CD1240" w:rsidRPr="00A87953">
        <w:rPr>
          <w:rFonts w:ascii="Times New Roman" w:hAnsi="Times New Roman"/>
          <w:sz w:val="28"/>
          <w:szCs w:val="28"/>
          <w:lang w:val="en"/>
        </w:rPr>
        <w:t xml:space="preserve">by a party </w:t>
      </w:r>
      <w:r w:rsidR="00B502F1" w:rsidRPr="00A87953">
        <w:rPr>
          <w:rFonts w:ascii="Times New Roman" w:hAnsi="Times New Roman"/>
          <w:sz w:val="28"/>
          <w:szCs w:val="28"/>
          <w:lang w:val="en"/>
        </w:rPr>
        <w:t>in prior proceedings but which co</w:t>
      </w:r>
      <w:r w:rsidR="00A90E69">
        <w:rPr>
          <w:rFonts w:ascii="Times New Roman" w:hAnsi="Times New Roman"/>
          <w:sz w:val="28"/>
          <w:szCs w:val="28"/>
          <w:lang w:val="en"/>
        </w:rPr>
        <w:t>uld and should have been raised</w:t>
      </w:r>
      <w:r w:rsidR="00CD1240" w:rsidRPr="00A87953">
        <w:rPr>
          <w:rFonts w:ascii="Times New Roman" w:hAnsi="Times New Roman"/>
          <w:sz w:val="28"/>
          <w:szCs w:val="28"/>
          <w:lang w:val="en"/>
        </w:rPr>
        <w:t xml:space="preserve">, that party </w:t>
      </w:r>
      <w:r w:rsidR="00B502F1" w:rsidRPr="00A87953">
        <w:rPr>
          <w:rFonts w:ascii="Times New Roman" w:hAnsi="Times New Roman"/>
          <w:sz w:val="28"/>
          <w:szCs w:val="28"/>
          <w:lang w:val="en"/>
        </w:rPr>
        <w:t xml:space="preserve">may </w:t>
      </w:r>
      <w:r w:rsidR="00CD1240" w:rsidRPr="00A87953">
        <w:rPr>
          <w:rFonts w:ascii="Times New Roman" w:hAnsi="Times New Roman"/>
          <w:sz w:val="28"/>
          <w:szCs w:val="28"/>
          <w:lang w:val="en"/>
        </w:rPr>
        <w:t xml:space="preserve">be precluded from raising the issue </w:t>
      </w:r>
      <w:r w:rsidR="00B502F1" w:rsidRPr="00A87953">
        <w:rPr>
          <w:rFonts w:ascii="Times New Roman" w:hAnsi="Times New Roman"/>
          <w:sz w:val="28"/>
          <w:szCs w:val="28"/>
          <w:lang w:val="en"/>
        </w:rPr>
        <w:t xml:space="preserve">in future </w:t>
      </w:r>
      <w:r w:rsidR="00CD1240" w:rsidRPr="00A87953">
        <w:rPr>
          <w:rFonts w:ascii="Times New Roman" w:hAnsi="Times New Roman"/>
          <w:sz w:val="28"/>
          <w:szCs w:val="28"/>
          <w:lang w:val="en"/>
        </w:rPr>
        <w:t>proceedings.</w:t>
      </w:r>
      <w:r w:rsidR="00B73F33">
        <w:rPr>
          <w:rFonts w:ascii="Times New Roman" w:hAnsi="Times New Roman"/>
          <w:sz w:val="28"/>
          <w:szCs w:val="28"/>
          <w:lang w:val="en"/>
        </w:rPr>
        <w:t xml:space="preserve"> </w:t>
      </w:r>
      <w:r w:rsidR="00CD1240" w:rsidRPr="00A87953">
        <w:rPr>
          <w:rFonts w:ascii="Times New Roman" w:hAnsi="Times New Roman"/>
          <w:sz w:val="28"/>
          <w:szCs w:val="28"/>
          <w:lang w:val="en"/>
        </w:rPr>
        <w:t>I mention it in passing but the focus of this paper is issue estoppel.</w:t>
      </w:r>
    </w:p>
    <w:p w:rsidR="00CD1240" w:rsidRPr="00A87953" w:rsidRDefault="00E4607E" w:rsidP="00817310">
      <w:pPr>
        <w:jc w:val="both"/>
        <w:rPr>
          <w:rFonts w:ascii="Times New Roman" w:hAnsi="Times New Roman"/>
          <w:sz w:val="28"/>
          <w:szCs w:val="28"/>
          <w:lang w:val="en"/>
        </w:rPr>
      </w:pPr>
      <w:r w:rsidRPr="00A87953">
        <w:rPr>
          <w:rFonts w:ascii="Times New Roman" w:hAnsi="Times New Roman"/>
          <w:sz w:val="28"/>
          <w:szCs w:val="28"/>
          <w:lang w:val="en"/>
        </w:rPr>
        <w:tab/>
      </w:r>
      <w:r w:rsidR="003249C9" w:rsidRPr="00A87953">
        <w:rPr>
          <w:rFonts w:ascii="Times New Roman" w:hAnsi="Times New Roman"/>
          <w:sz w:val="28"/>
          <w:szCs w:val="28"/>
          <w:lang w:val="en"/>
        </w:rPr>
        <w:t>Three</w:t>
      </w:r>
      <w:r w:rsidR="00CD1240" w:rsidRPr="00A87953">
        <w:rPr>
          <w:rFonts w:ascii="Times New Roman" w:hAnsi="Times New Roman"/>
          <w:sz w:val="28"/>
          <w:szCs w:val="28"/>
          <w:lang w:val="en"/>
        </w:rPr>
        <w:t xml:space="preserve"> preconditions must exist before issue estoppel will apply</w:t>
      </w:r>
      <w:r w:rsidR="00B01515" w:rsidRPr="00A87953">
        <w:rPr>
          <w:rFonts w:ascii="Times New Roman" w:hAnsi="Times New Roman"/>
          <w:sz w:val="28"/>
          <w:szCs w:val="28"/>
          <w:lang w:val="en"/>
        </w:rPr>
        <w:t>.</w:t>
      </w:r>
      <w:r w:rsidR="00B73F33">
        <w:rPr>
          <w:rFonts w:ascii="Times New Roman" w:hAnsi="Times New Roman"/>
          <w:sz w:val="28"/>
          <w:szCs w:val="28"/>
          <w:lang w:val="en"/>
        </w:rPr>
        <w:t xml:space="preserve"> </w:t>
      </w:r>
      <w:r w:rsidR="00B01515" w:rsidRPr="00A87953">
        <w:rPr>
          <w:rFonts w:ascii="Times New Roman" w:hAnsi="Times New Roman"/>
          <w:sz w:val="28"/>
          <w:szCs w:val="28"/>
          <w:lang w:val="en"/>
        </w:rPr>
        <w:t xml:space="preserve">The following requirements are derived from the speech of Lord Guest in </w:t>
      </w:r>
      <w:r w:rsidR="00B01515" w:rsidRPr="00A87953">
        <w:rPr>
          <w:rFonts w:ascii="Times New Roman" w:hAnsi="Times New Roman"/>
          <w:i/>
          <w:sz w:val="28"/>
          <w:szCs w:val="28"/>
          <w:lang w:val="en"/>
        </w:rPr>
        <w:t>Carl Zeiss Stiftung v Rayner &amp; Keeler Ltd</w:t>
      </w:r>
      <w:r w:rsidR="00F3238B" w:rsidRPr="00A87953">
        <w:rPr>
          <w:rStyle w:val="FootnoteReference"/>
          <w:rFonts w:ascii="Times New Roman" w:hAnsi="Times New Roman"/>
          <w:i/>
          <w:sz w:val="28"/>
          <w:szCs w:val="28"/>
          <w:lang w:val="en"/>
        </w:rPr>
        <w:footnoteReference w:id="3"/>
      </w:r>
      <w:r w:rsidR="00CD1240" w:rsidRPr="00A87953">
        <w:rPr>
          <w:rFonts w:ascii="Times New Roman" w:hAnsi="Times New Roman"/>
          <w:sz w:val="28"/>
          <w:szCs w:val="28"/>
          <w:lang w:val="en"/>
        </w:rPr>
        <w:t>:</w:t>
      </w:r>
    </w:p>
    <w:p w:rsidR="00DA2FAC" w:rsidRPr="00A87953" w:rsidRDefault="00DA2FAC" w:rsidP="00817310">
      <w:pPr>
        <w:jc w:val="both"/>
        <w:rPr>
          <w:rFonts w:ascii="Times New Roman" w:hAnsi="Times New Roman"/>
          <w:sz w:val="28"/>
          <w:szCs w:val="28"/>
          <w:lang w:val="en"/>
        </w:rPr>
      </w:pPr>
      <w:r w:rsidRPr="00A87953">
        <w:rPr>
          <w:rFonts w:ascii="Times New Roman" w:hAnsi="Times New Roman"/>
          <w:sz w:val="28"/>
          <w:szCs w:val="28"/>
          <w:lang w:val="en"/>
        </w:rPr>
        <w:t>(1)</w:t>
      </w:r>
      <w:r w:rsidR="00817310">
        <w:rPr>
          <w:rFonts w:ascii="Times New Roman" w:hAnsi="Times New Roman"/>
          <w:sz w:val="28"/>
          <w:szCs w:val="28"/>
          <w:lang w:val="en"/>
        </w:rPr>
        <w:tab/>
      </w:r>
      <w:r w:rsidR="00ED3E60" w:rsidRPr="00A87953">
        <w:rPr>
          <w:rFonts w:ascii="Times New Roman" w:hAnsi="Times New Roman"/>
          <w:sz w:val="28"/>
          <w:szCs w:val="28"/>
          <w:lang w:val="en"/>
        </w:rPr>
        <w:t>the first decision was final</w:t>
      </w:r>
      <w:r w:rsidRPr="00A87953">
        <w:rPr>
          <w:rFonts w:ascii="Times New Roman" w:hAnsi="Times New Roman"/>
          <w:sz w:val="28"/>
          <w:szCs w:val="28"/>
          <w:lang w:val="en"/>
        </w:rPr>
        <w:t>;</w:t>
      </w:r>
    </w:p>
    <w:p w:rsidR="00DA2FAC" w:rsidRPr="00A87953" w:rsidRDefault="00DA2FAC" w:rsidP="00817310">
      <w:pPr>
        <w:jc w:val="both"/>
        <w:rPr>
          <w:rFonts w:ascii="Times New Roman" w:hAnsi="Times New Roman"/>
          <w:sz w:val="28"/>
          <w:szCs w:val="28"/>
          <w:lang w:val="en"/>
        </w:rPr>
      </w:pPr>
      <w:r w:rsidRPr="00A87953">
        <w:rPr>
          <w:rFonts w:ascii="Times New Roman" w:hAnsi="Times New Roman"/>
          <w:sz w:val="28"/>
          <w:szCs w:val="28"/>
          <w:lang w:val="en"/>
        </w:rPr>
        <w:t>(2)</w:t>
      </w:r>
      <w:r w:rsidR="00817310">
        <w:rPr>
          <w:rFonts w:ascii="Times New Roman" w:hAnsi="Times New Roman"/>
          <w:sz w:val="28"/>
          <w:szCs w:val="28"/>
          <w:lang w:val="en"/>
        </w:rPr>
        <w:tab/>
      </w:r>
      <w:r w:rsidR="00ED3E60" w:rsidRPr="00A87953">
        <w:rPr>
          <w:rFonts w:ascii="Times New Roman" w:hAnsi="Times New Roman"/>
          <w:sz w:val="28"/>
          <w:szCs w:val="28"/>
          <w:lang w:val="en"/>
        </w:rPr>
        <w:t>the same question has been decided</w:t>
      </w:r>
      <w:r w:rsidRPr="00A87953">
        <w:rPr>
          <w:rFonts w:ascii="Times New Roman" w:hAnsi="Times New Roman"/>
          <w:sz w:val="28"/>
          <w:szCs w:val="28"/>
          <w:lang w:val="en"/>
        </w:rPr>
        <w:t>; and</w:t>
      </w:r>
    </w:p>
    <w:p w:rsidR="00DA2FAC" w:rsidRPr="00A87953" w:rsidRDefault="00DA2FAC" w:rsidP="00817310">
      <w:pPr>
        <w:ind w:left="720" w:hanging="720"/>
        <w:jc w:val="both"/>
        <w:rPr>
          <w:rFonts w:ascii="Times New Roman" w:hAnsi="Times New Roman"/>
          <w:sz w:val="28"/>
          <w:szCs w:val="28"/>
          <w:lang w:val="en"/>
        </w:rPr>
      </w:pPr>
      <w:r w:rsidRPr="00A87953">
        <w:rPr>
          <w:rFonts w:ascii="Times New Roman" w:hAnsi="Times New Roman"/>
          <w:sz w:val="28"/>
          <w:szCs w:val="28"/>
          <w:lang w:val="en"/>
        </w:rPr>
        <w:t>(3)</w:t>
      </w:r>
      <w:r w:rsidR="00817310">
        <w:rPr>
          <w:rFonts w:ascii="Times New Roman" w:hAnsi="Times New Roman"/>
          <w:sz w:val="28"/>
          <w:szCs w:val="28"/>
          <w:lang w:val="en"/>
        </w:rPr>
        <w:tab/>
      </w:r>
      <w:r w:rsidRPr="00A87953">
        <w:rPr>
          <w:rFonts w:ascii="Times New Roman" w:hAnsi="Times New Roman"/>
          <w:sz w:val="28"/>
          <w:szCs w:val="28"/>
          <w:lang w:val="en"/>
        </w:rPr>
        <w:t xml:space="preserve">the </w:t>
      </w:r>
      <w:r w:rsidR="00223E90" w:rsidRPr="00A87953">
        <w:rPr>
          <w:rFonts w:ascii="Times New Roman" w:hAnsi="Times New Roman"/>
          <w:sz w:val="28"/>
          <w:szCs w:val="28"/>
          <w:lang w:val="en"/>
        </w:rPr>
        <w:t>same parties, or at least parties with the same legal interest</w:t>
      </w:r>
      <w:r w:rsidR="00ED3E60" w:rsidRPr="00A87953">
        <w:rPr>
          <w:rFonts w:ascii="Times New Roman" w:hAnsi="Times New Roman"/>
          <w:sz w:val="28"/>
          <w:szCs w:val="28"/>
          <w:lang w:val="en"/>
        </w:rPr>
        <w:t>,</w:t>
      </w:r>
      <w:r w:rsidR="00223E90" w:rsidRPr="00A87953">
        <w:rPr>
          <w:rFonts w:ascii="Times New Roman" w:hAnsi="Times New Roman"/>
          <w:sz w:val="28"/>
          <w:szCs w:val="28"/>
          <w:lang w:val="en"/>
        </w:rPr>
        <w:t xml:space="preserve"> are </w:t>
      </w:r>
      <w:r w:rsidR="00ED3E60" w:rsidRPr="00A87953">
        <w:rPr>
          <w:rFonts w:ascii="Times New Roman" w:hAnsi="Times New Roman"/>
          <w:sz w:val="28"/>
          <w:szCs w:val="28"/>
          <w:lang w:val="en"/>
        </w:rPr>
        <w:t>the same.</w:t>
      </w:r>
    </w:p>
    <w:p w:rsidR="009D4F98" w:rsidRPr="00A87953" w:rsidRDefault="009D4F98" w:rsidP="00817310">
      <w:pPr>
        <w:jc w:val="both"/>
        <w:rPr>
          <w:rFonts w:ascii="Times New Roman" w:hAnsi="Times New Roman"/>
          <w:sz w:val="28"/>
          <w:szCs w:val="28"/>
          <w:lang w:val="en"/>
        </w:rPr>
      </w:pPr>
    </w:p>
    <w:p w:rsidR="00972F55" w:rsidRPr="00A87953" w:rsidRDefault="00972F55" w:rsidP="00817310">
      <w:pPr>
        <w:jc w:val="both"/>
        <w:rPr>
          <w:rFonts w:ascii="Times New Roman" w:hAnsi="Times New Roman"/>
          <w:b/>
          <w:bCs/>
          <w:sz w:val="28"/>
          <w:szCs w:val="28"/>
        </w:rPr>
      </w:pPr>
      <w:r w:rsidRPr="00A87953">
        <w:rPr>
          <w:rFonts w:ascii="Times New Roman" w:hAnsi="Times New Roman"/>
          <w:b/>
          <w:bCs/>
          <w:sz w:val="28"/>
          <w:szCs w:val="28"/>
        </w:rPr>
        <w:t>Finality</w:t>
      </w:r>
    </w:p>
    <w:p w:rsidR="00B01515"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58195E" w:rsidRPr="00A87953">
        <w:rPr>
          <w:rFonts w:ascii="Times New Roman" w:hAnsi="Times New Roman"/>
          <w:sz w:val="28"/>
          <w:szCs w:val="28"/>
        </w:rPr>
        <w:t>Was the first decision final?</w:t>
      </w:r>
      <w:r w:rsidR="00B73F33">
        <w:rPr>
          <w:rFonts w:ascii="Times New Roman" w:hAnsi="Times New Roman"/>
          <w:sz w:val="28"/>
          <w:szCs w:val="28"/>
        </w:rPr>
        <w:t xml:space="preserve"> </w:t>
      </w:r>
      <w:r w:rsidR="0058195E" w:rsidRPr="00A87953">
        <w:rPr>
          <w:rFonts w:ascii="Times New Roman" w:hAnsi="Times New Roman"/>
          <w:sz w:val="28"/>
          <w:szCs w:val="28"/>
        </w:rPr>
        <w:t xml:space="preserve">The doctrine of issue estoppel extends to the decision of any tribunal which has the jurisdiction to finally decide a question arising between the parties: </w:t>
      </w:r>
      <w:r w:rsidR="0058195E" w:rsidRPr="00A87953">
        <w:rPr>
          <w:rFonts w:ascii="Times New Roman" w:hAnsi="Times New Roman"/>
          <w:i/>
          <w:sz w:val="28"/>
          <w:szCs w:val="28"/>
        </w:rPr>
        <w:t>Administration of Papua New Guinea v Daera Guba</w:t>
      </w:r>
      <w:r w:rsidR="00F3238B" w:rsidRPr="00A87953">
        <w:rPr>
          <w:rStyle w:val="FootnoteReference"/>
          <w:rFonts w:ascii="Times New Roman" w:hAnsi="Times New Roman"/>
          <w:i/>
          <w:sz w:val="28"/>
          <w:szCs w:val="28"/>
        </w:rPr>
        <w:footnoteReference w:id="4"/>
      </w:r>
      <w:r w:rsidR="0058195E" w:rsidRPr="00A87953">
        <w:rPr>
          <w:rFonts w:ascii="Times New Roman" w:hAnsi="Times New Roman"/>
          <w:sz w:val="28"/>
          <w:szCs w:val="28"/>
        </w:rPr>
        <w:t>.</w:t>
      </w:r>
      <w:r w:rsidR="00B73F33">
        <w:rPr>
          <w:rFonts w:ascii="Times New Roman" w:hAnsi="Times New Roman"/>
          <w:sz w:val="28"/>
          <w:szCs w:val="28"/>
        </w:rPr>
        <w:t xml:space="preserve"> </w:t>
      </w:r>
      <w:r w:rsidR="00E12B6B" w:rsidRPr="00A87953">
        <w:rPr>
          <w:rFonts w:ascii="Times New Roman" w:hAnsi="Times New Roman"/>
          <w:sz w:val="28"/>
          <w:szCs w:val="28"/>
        </w:rPr>
        <w:t xml:space="preserve">That case concerned the decision of a board established by legislation in Papua New Guinea </w:t>
      </w:r>
      <w:r w:rsidR="00FF6EDC" w:rsidRPr="00A87953">
        <w:rPr>
          <w:rFonts w:ascii="Times New Roman" w:hAnsi="Times New Roman"/>
          <w:sz w:val="28"/>
          <w:szCs w:val="28"/>
        </w:rPr>
        <w:t xml:space="preserve">in the 1970s </w:t>
      </w:r>
      <w:r w:rsidR="00E12B6B" w:rsidRPr="00A87953">
        <w:rPr>
          <w:rFonts w:ascii="Times New Roman" w:hAnsi="Times New Roman"/>
          <w:sz w:val="28"/>
          <w:szCs w:val="28"/>
        </w:rPr>
        <w:t>to determine questions of ownership of land.</w:t>
      </w:r>
      <w:r w:rsidR="00B73F33">
        <w:rPr>
          <w:rFonts w:ascii="Times New Roman" w:hAnsi="Times New Roman"/>
          <w:sz w:val="28"/>
          <w:szCs w:val="28"/>
        </w:rPr>
        <w:t xml:space="preserve"> </w:t>
      </w:r>
      <w:r w:rsidR="00E12B6B" w:rsidRPr="00A87953">
        <w:rPr>
          <w:rFonts w:ascii="Times New Roman" w:hAnsi="Times New Roman"/>
          <w:sz w:val="28"/>
          <w:szCs w:val="28"/>
        </w:rPr>
        <w:t xml:space="preserve">The </w:t>
      </w:r>
      <w:r w:rsidR="001B4232" w:rsidRPr="00A87953">
        <w:rPr>
          <w:rFonts w:ascii="Times New Roman" w:hAnsi="Times New Roman"/>
          <w:sz w:val="28"/>
          <w:szCs w:val="28"/>
        </w:rPr>
        <w:t>High C</w:t>
      </w:r>
      <w:r w:rsidR="00C30146" w:rsidRPr="00A87953">
        <w:rPr>
          <w:rFonts w:ascii="Times New Roman" w:hAnsi="Times New Roman"/>
          <w:sz w:val="28"/>
          <w:szCs w:val="28"/>
        </w:rPr>
        <w:t xml:space="preserve">ourt said that the </w:t>
      </w:r>
      <w:r w:rsidR="00E12B6B" w:rsidRPr="00A87953">
        <w:rPr>
          <w:rFonts w:ascii="Times New Roman" w:hAnsi="Times New Roman"/>
          <w:sz w:val="28"/>
          <w:szCs w:val="28"/>
        </w:rPr>
        <w:t>question is not whether the tribunal is exercising judicial or administrative power</w:t>
      </w:r>
      <w:r w:rsidR="00C30146" w:rsidRPr="00A87953">
        <w:rPr>
          <w:rFonts w:ascii="Times New Roman" w:hAnsi="Times New Roman"/>
          <w:sz w:val="28"/>
          <w:szCs w:val="28"/>
        </w:rPr>
        <w:t xml:space="preserve"> but whether the order is final</w:t>
      </w:r>
      <w:r w:rsidR="00E12B6B" w:rsidRPr="00A87953">
        <w:rPr>
          <w:rFonts w:ascii="Times New Roman" w:hAnsi="Times New Roman"/>
          <w:sz w:val="28"/>
          <w:szCs w:val="28"/>
        </w:rPr>
        <w:t>.</w:t>
      </w:r>
      <w:r w:rsidR="00B73F33">
        <w:rPr>
          <w:rFonts w:ascii="Times New Roman" w:hAnsi="Times New Roman"/>
          <w:sz w:val="28"/>
          <w:szCs w:val="28"/>
        </w:rPr>
        <w:t xml:space="preserve"> </w:t>
      </w:r>
      <w:r w:rsidR="0058195E" w:rsidRPr="00A87953">
        <w:rPr>
          <w:rFonts w:ascii="Times New Roman" w:hAnsi="Times New Roman"/>
          <w:sz w:val="28"/>
          <w:szCs w:val="28"/>
        </w:rPr>
        <w:t>A final order is one which is final and conclusive on the merits</w:t>
      </w:r>
      <w:r w:rsidR="00972F55" w:rsidRPr="00A87953">
        <w:rPr>
          <w:rFonts w:ascii="Times New Roman" w:hAnsi="Times New Roman"/>
          <w:sz w:val="28"/>
          <w:szCs w:val="28"/>
        </w:rPr>
        <w:t>.</w:t>
      </w:r>
      <w:r w:rsidR="00B73F33">
        <w:rPr>
          <w:rFonts w:ascii="Times New Roman" w:hAnsi="Times New Roman"/>
          <w:sz w:val="28"/>
          <w:szCs w:val="28"/>
        </w:rPr>
        <w:t xml:space="preserve"> </w:t>
      </w:r>
      <w:r w:rsidR="00DC454F" w:rsidRPr="00A87953">
        <w:rPr>
          <w:rFonts w:ascii="Times New Roman" w:hAnsi="Times New Roman"/>
          <w:sz w:val="28"/>
          <w:szCs w:val="28"/>
        </w:rPr>
        <w:t>It</w:t>
      </w:r>
      <w:r w:rsidR="0058195E" w:rsidRPr="00A87953">
        <w:rPr>
          <w:rFonts w:ascii="Times New Roman" w:hAnsi="Times New Roman"/>
          <w:sz w:val="28"/>
          <w:szCs w:val="28"/>
        </w:rPr>
        <w:t xml:space="preserve"> is to be distinguished from an </w:t>
      </w:r>
      <w:r w:rsidR="003355A0" w:rsidRPr="00A87953">
        <w:rPr>
          <w:rFonts w:ascii="Times New Roman" w:hAnsi="Times New Roman"/>
          <w:sz w:val="28"/>
          <w:szCs w:val="28"/>
        </w:rPr>
        <w:t xml:space="preserve">order of an </w:t>
      </w:r>
      <w:r w:rsidR="0058195E" w:rsidRPr="00A87953">
        <w:rPr>
          <w:rFonts w:ascii="Times New Roman" w:hAnsi="Times New Roman"/>
          <w:sz w:val="28"/>
          <w:szCs w:val="28"/>
        </w:rPr>
        <w:lastRenderedPageBreak/>
        <w:t xml:space="preserve">interlocutory </w:t>
      </w:r>
      <w:r w:rsidR="003355A0" w:rsidRPr="00A87953">
        <w:rPr>
          <w:rFonts w:ascii="Times New Roman" w:hAnsi="Times New Roman"/>
          <w:sz w:val="28"/>
          <w:szCs w:val="28"/>
        </w:rPr>
        <w:t>character:</w:t>
      </w:r>
      <w:r w:rsidR="0058195E" w:rsidRPr="00A87953">
        <w:rPr>
          <w:rFonts w:ascii="Times New Roman" w:hAnsi="Times New Roman"/>
          <w:sz w:val="28"/>
          <w:szCs w:val="28"/>
        </w:rPr>
        <w:t xml:space="preserve"> </w:t>
      </w:r>
      <w:r w:rsidR="0058195E" w:rsidRPr="00A87953">
        <w:rPr>
          <w:rFonts w:ascii="Times New Roman" w:hAnsi="Times New Roman"/>
          <w:i/>
          <w:iCs/>
          <w:sz w:val="28"/>
          <w:szCs w:val="28"/>
        </w:rPr>
        <w:t>Kuligowski v Metrobus</w:t>
      </w:r>
      <w:r w:rsidR="00C3054D" w:rsidRPr="00A87953">
        <w:rPr>
          <w:rStyle w:val="FootnoteReference"/>
          <w:rFonts w:ascii="Times New Roman" w:hAnsi="Times New Roman"/>
          <w:i/>
          <w:iCs/>
          <w:sz w:val="28"/>
          <w:szCs w:val="28"/>
        </w:rPr>
        <w:footnoteReference w:id="5"/>
      </w:r>
      <w:r w:rsidR="0058195E" w:rsidRPr="00A87953">
        <w:rPr>
          <w:rFonts w:ascii="Times New Roman" w:hAnsi="Times New Roman"/>
          <w:sz w:val="28"/>
          <w:szCs w:val="28"/>
        </w:rPr>
        <w:t>.</w:t>
      </w:r>
      <w:r w:rsidR="00B73F33">
        <w:rPr>
          <w:rFonts w:ascii="Times New Roman" w:hAnsi="Times New Roman"/>
          <w:sz w:val="28"/>
          <w:szCs w:val="28"/>
        </w:rPr>
        <w:t xml:space="preserve"> </w:t>
      </w:r>
      <w:r w:rsidR="00972F55" w:rsidRPr="00A87953">
        <w:rPr>
          <w:rFonts w:ascii="Times New Roman" w:hAnsi="Times New Roman"/>
          <w:sz w:val="28"/>
          <w:szCs w:val="28"/>
        </w:rPr>
        <w:t xml:space="preserve">The fact that an appeal lies from the decision </w:t>
      </w:r>
      <w:r w:rsidR="00D26773" w:rsidRPr="00A87953">
        <w:rPr>
          <w:rFonts w:ascii="Times New Roman" w:hAnsi="Times New Roman"/>
          <w:sz w:val="28"/>
          <w:szCs w:val="28"/>
        </w:rPr>
        <w:t>does not make it any less final</w:t>
      </w:r>
      <w:r w:rsidR="00C3054D" w:rsidRPr="00A87953">
        <w:rPr>
          <w:rStyle w:val="FootnoteReference"/>
          <w:rFonts w:ascii="Times New Roman" w:hAnsi="Times New Roman"/>
          <w:i/>
          <w:sz w:val="28"/>
          <w:szCs w:val="28"/>
        </w:rPr>
        <w:footnoteReference w:id="6"/>
      </w:r>
      <w:r w:rsidR="00C3054D" w:rsidRPr="00A87953">
        <w:rPr>
          <w:rFonts w:ascii="Times New Roman" w:hAnsi="Times New Roman"/>
          <w:sz w:val="28"/>
          <w:szCs w:val="28"/>
        </w:rPr>
        <w:t>.</w:t>
      </w:r>
    </w:p>
    <w:p w:rsidR="00DC488D" w:rsidRPr="00A87953" w:rsidRDefault="00E4607E" w:rsidP="00817310">
      <w:pPr>
        <w:jc w:val="both"/>
        <w:rPr>
          <w:rFonts w:ascii="Times New Roman" w:hAnsi="Times New Roman"/>
          <w:sz w:val="28"/>
          <w:szCs w:val="28"/>
        </w:rPr>
      </w:pPr>
      <w:r w:rsidRPr="00A87953">
        <w:rPr>
          <w:rFonts w:ascii="Times New Roman" w:hAnsi="Times New Roman"/>
          <w:i/>
          <w:sz w:val="28"/>
          <w:szCs w:val="28"/>
        </w:rPr>
        <w:tab/>
      </w:r>
      <w:r w:rsidR="00B01515" w:rsidRPr="00A87953">
        <w:rPr>
          <w:rFonts w:ascii="Times New Roman" w:hAnsi="Times New Roman"/>
          <w:i/>
          <w:sz w:val="28"/>
          <w:szCs w:val="28"/>
        </w:rPr>
        <w:t>Kuligowski</w:t>
      </w:r>
      <w:r w:rsidR="00B01515" w:rsidRPr="00A87953">
        <w:rPr>
          <w:rFonts w:ascii="Times New Roman" w:hAnsi="Times New Roman"/>
          <w:sz w:val="28"/>
          <w:szCs w:val="28"/>
        </w:rPr>
        <w:t xml:space="preserve"> </w:t>
      </w:r>
      <w:r w:rsidR="00E12B6B" w:rsidRPr="00A87953">
        <w:rPr>
          <w:rFonts w:ascii="Times New Roman" w:hAnsi="Times New Roman"/>
          <w:sz w:val="28"/>
          <w:szCs w:val="28"/>
        </w:rPr>
        <w:t>was a workers compensation case.</w:t>
      </w:r>
      <w:r w:rsidR="00B73F33">
        <w:rPr>
          <w:rFonts w:ascii="Times New Roman" w:hAnsi="Times New Roman"/>
          <w:sz w:val="28"/>
          <w:szCs w:val="28"/>
        </w:rPr>
        <w:t xml:space="preserve"> </w:t>
      </w:r>
      <w:r w:rsidR="00E12B6B" w:rsidRPr="00A87953">
        <w:rPr>
          <w:rFonts w:ascii="Times New Roman" w:hAnsi="Times New Roman"/>
          <w:sz w:val="28"/>
          <w:szCs w:val="28"/>
        </w:rPr>
        <w:t xml:space="preserve">A </w:t>
      </w:r>
      <w:r w:rsidR="00972F55" w:rsidRPr="00A87953">
        <w:rPr>
          <w:rFonts w:ascii="Times New Roman" w:hAnsi="Times New Roman"/>
          <w:sz w:val="28"/>
          <w:szCs w:val="28"/>
        </w:rPr>
        <w:t xml:space="preserve">person under the WA legislation called a </w:t>
      </w:r>
      <w:r w:rsidR="00E12B6B" w:rsidRPr="00A87953">
        <w:rPr>
          <w:rFonts w:ascii="Times New Roman" w:hAnsi="Times New Roman"/>
          <w:sz w:val="28"/>
          <w:szCs w:val="28"/>
        </w:rPr>
        <w:t xml:space="preserve">review officer </w:t>
      </w:r>
      <w:r w:rsidR="00972F55" w:rsidRPr="00A87953">
        <w:rPr>
          <w:rFonts w:ascii="Times New Roman" w:hAnsi="Times New Roman"/>
          <w:sz w:val="28"/>
          <w:szCs w:val="28"/>
        </w:rPr>
        <w:t>had power to make determinations about disputed claims for compens</w:t>
      </w:r>
      <w:r w:rsidR="00DC488D" w:rsidRPr="00A87953">
        <w:rPr>
          <w:rFonts w:ascii="Times New Roman" w:hAnsi="Times New Roman"/>
          <w:sz w:val="28"/>
          <w:szCs w:val="28"/>
        </w:rPr>
        <w:t>ation.</w:t>
      </w:r>
      <w:r w:rsidR="00B73F33">
        <w:rPr>
          <w:rFonts w:ascii="Times New Roman" w:hAnsi="Times New Roman"/>
          <w:sz w:val="28"/>
          <w:szCs w:val="28"/>
        </w:rPr>
        <w:t xml:space="preserve"> </w:t>
      </w:r>
      <w:r w:rsidR="00B01515" w:rsidRPr="00A87953">
        <w:rPr>
          <w:rFonts w:ascii="Times New Roman" w:hAnsi="Times New Roman"/>
          <w:sz w:val="28"/>
          <w:szCs w:val="28"/>
        </w:rPr>
        <w:t>He made findings that a worker had recovered from an injury and that certain other injuries did not arise from his employment and the question was whether there was an issue estoppel for later common law proceedings.</w:t>
      </w:r>
      <w:r w:rsidR="00B73F33">
        <w:rPr>
          <w:rFonts w:ascii="Times New Roman" w:hAnsi="Times New Roman"/>
          <w:sz w:val="28"/>
          <w:szCs w:val="28"/>
        </w:rPr>
        <w:t xml:space="preserve"> </w:t>
      </w:r>
      <w:r w:rsidR="00B01515" w:rsidRPr="00A87953">
        <w:rPr>
          <w:rFonts w:ascii="Times New Roman" w:hAnsi="Times New Roman"/>
          <w:sz w:val="28"/>
          <w:szCs w:val="28"/>
        </w:rPr>
        <w:t xml:space="preserve">Although no issue estoppel arose, for other reasons, the seven members of the High Court, in a joint judgment, found that the decision was final because it was one which was completely effective unless and until it should be rescinded, altered or amended: </w:t>
      </w:r>
      <w:r w:rsidR="00B01515" w:rsidRPr="00A87953">
        <w:rPr>
          <w:rFonts w:ascii="Times New Roman" w:hAnsi="Times New Roman"/>
          <w:i/>
          <w:sz w:val="28"/>
          <w:szCs w:val="28"/>
        </w:rPr>
        <w:t>Somodaj v Australian Iron And Steel Ltd</w:t>
      </w:r>
      <w:r w:rsidR="00DC50BC" w:rsidRPr="00A87953">
        <w:rPr>
          <w:rStyle w:val="FootnoteReference"/>
          <w:rFonts w:ascii="Times New Roman" w:hAnsi="Times New Roman"/>
          <w:i/>
          <w:sz w:val="28"/>
          <w:szCs w:val="28"/>
        </w:rPr>
        <w:footnoteReference w:id="7"/>
      </w:r>
      <w:r w:rsidR="00B01515" w:rsidRPr="00A87953">
        <w:rPr>
          <w:rFonts w:ascii="Times New Roman" w:hAnsi="Times New Roman"/>
          <w:sz w:val="28"/>
          <w:szCs w:val="28"/>
        </w:rPr>
        <w:t>.</w:t>
      </w:r>
      <w:r w:rsidR="00B73F33">
        <w:rPr>
          <w:rFonts w:ascii="Times New Roman" w:hAnsi="Times New Roman"/>
          <w:sz w:val="28"/>
          <w:szCs w:val="28"/>
        </w:rPr>
        <w:t xml:space="preserve"> </w:t>
      </w:r>
      <w:r w:rsidR="00B01515" w:rsidRPr="00A87953">
        <w:rPr>
          <w:rFonts w:ascii="Times New Roman" w:hAnsi="Times New Roman"/>
          <w:sz w:val="28"/>
          <w:szCs w:val="28"/>
        </w:rPr>
        <w:t>That was so</w:t>
      </w:r>
      <w:r w:rsidR="00A90E69">
        <w:rPr>
          <w:rFonts w:ascii="Times New Roman" w:hAnsi="Times New Roman"/>
          <w:sz w:val="28"/>
          <w:szCs w:val="28"/>
        </w:rPr>
        <w:t>,</w:t>
      </w:r>
      <w:r w:rsidR="00B01515" w:rsidRPr="00A87953">
        <w:rPr>
          <w:rFonts w:ascii="Times New Roman" w:hAnsi="Times New Roman"/>
          <w:sz w:val="28"/>
          <w:szCs w:val="28"/>
        </w:rPr>
        <w:t xml:space="preserve"> although the decision was made pursuant to a speedy and informal process, the review officer was not bound by the rules of evidence</w:t>
      </w:r>
      <w:r w:rsidR="00A90E69">
        <w:rPr>
          <w:rFonts w:ascii="Times New Roman" w:hAnsi="Times New Roman"/>
          <w:sz w:val="28"/>
          <w:szCs w:val="28"/>
        </w:rPr>
        <w:t>,</w:t>
      </w:r>
      <w:r w:rsidR="00B01515" w:rsidRPr="00A87953">
        <w:rPr>
          <w:rFonts w:ascii="Times New Roman" w:hAnsi="Times New Roman"/>
          <w:sz w:val="28"/>
          <w:szCs w:val="28"/>
        </w:rPr>
        <w:t xml:space="preserve"> and lawyers were largely excluded.</w:t>
      </w:r>
    </w:p>
    <w:p w:rsidR="00772C7C"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1D0CBC" w:rsidRPr="00A87953">
        <w:rPr>
          <w:rFonts w:ascii="Times New Roman" w:hAnsi="Times New Roman"/>
          <w:sz w:val="28"/>
          <w:szCs w:val="28"/>
        </w:rPr>
        <w:t xml:space="preserve">In </w:t>
      </w:r>
      <w:r w:rsidR="00DC50BC" w:rsidRPr="00A87953">
        <w:rPr>
          <w:rFonts w:ascii="Times New Roman" w:hAnsi="Times New Roman"/>
          <w:sz w:val="28"/>
          <w:szCs w:val="28"/>
        </w:rPr>
        <w:t xml:space="preserve">2011 in </w:t>
      </w:r>
      <w:r w:rsidR="001D0CBC" w:rsidRPr="00A87953">
        <w:rPr>
          <w:rFonts w:ascii="Times New Roman" w:hAnsi="Times New Roman"/>
          <w:i/>
          <w:iCs/>
          <w:sz w:val="28"/>
          <w:szCs w:val="28"/>
        </w:rPr>
        <w:t>Tasmania Feedlot Pty Ltd v Stagg</w:t>
      </w:r>
      <w:r w:rsidR="00DC50BC" w:rsidRPr="00A87953">
        <w:rPr>
          <w:rStyle w:val="FootnoteReference"/>
          <w:rFonts w:ascii="Times New Roman" w:hAnsi="Times New Roman"/>
          <w:i/>
          <w:iCs/>
          <w:sz w:val="28"/>
          <w:szCs w:val="28"/>
        </w:rPr>
        <w:footnoteReference w:id="8"/>
      </w:r>
      <w:r w:rsidR="001D0CBC" w:rsidRPr="00A87953">
        <w:rPr>
          <w:rFonts w:ascii="Times New Roman" w:hAnsi="Times New Roman"/>
          <w:sz w:val="28"/>
          <w:szCs w:val="28"/>
        </w:rPr>
        <w:t xml:space="preserve"> Evans J gave as an example of an interlocutory </w:t>
      </w:r>
      <w:r w:rsidR="00B9309C" w:rsidRPr="00A87953">
        <w:rPr>
          <w:rFonts w:ascii="Times New Roman" w:hAnsi="Times New Roman"/>
          <w:sz w:val="28"/>
          <w:szCs w:val="28"/>
        </w:rPr>
        <w:t>order, which</w:t>
      </w:r>
      <w:r w:rsidR="00C72242" w:rsidRPr="00A87953">
        <w:rPr>
          <w:rFonts w:ascii="Times New Roman" w:hAnsi="Times New Roman"/>
          <w:sz w:val="28"/>
          <w:szCs w:val="28"/>
        </w:rPr>
        <w:t xml:space="preserve"> is a determination that is not final,</w:t>
      </w:r>
      <w:r w:rsidR="001D0CBC" w:rsidRPr="00A87953">
        <w:rPr>
          <w:rFonts w:ascii="Times New Roman" w:hAnsi="Times New Roman"/>
          <w:sz w:val="28"/>
          <w:szCs w:val="28"/>
        </w:rPr>
        <w:t xml:space="preserve"> an application for an extension of time.</w:t>
      </w:r>
      <w:r w:rsidR="00B73F33">
        <w:rPr>
          <w:rFonts w:ascii="Times New Roman" w:hAnsi="Times New Roman"/>
          <w:sz w:val="28"/>
          <w:szCs w:val="28"/>
        </w:rPr>
        <w:t xml:space="preserve"> </w:t>
      </w:r>
      <w:r w:rsidR="0024777C" w:rsidRPr="00A87953">
        <w:rPr>
          <w:rFonts w:ascii="Times New Roman" w:hAnsi="Times New Roman"/>
          <w:sz w:val="28"/>
          <w:szCs w:val="28"/>
        </w:rPr>
        <w:t xml:space="preserve">That case concerned an application by a worker to extend the two year time limit for making an election to make claim for damages under s138AA </w:t>
      </w:r>
      <w:r w:rsidR="00046317">
        <w:rPr>
          <w:rFonts w:ascii="Times New Roman" w:hAnsi="Times New Roman"/>
          <w:sz w:val="28"/>
          <w:szCs w:val="28"/>
        </w:rPr>
        <w:t xml:space="preserve">of the </w:t>
      </w:r>
      <w:r w:rsidR="00046317" w:rsidRPr="00046317">
        <w:rPr>
          <w:rFonts w:ascii="Times New Roman" w:hAnsi="Times New Roman"/>
          <w:i/>
          <w:sz w:val="28"/>
          <w:szCs w:val="28"/>
        </w:rPr>
        <w:t>Workers Rehabilitation and Compensation Act</w:t>
      </w:r>
      <w:r w:rsidR="00046317">
        <w:rPr>
          <w:rFonts w:ascii="Times New Roman" w:hAnsi="Times New Roman"/>
          <w:sz w:val="28"/>
          <w:szCs w:val="28"/>
        </w:rPr>
        <w:t xml:space="preserve"> </w:t>
      </w:r>
      <w:r w:rsidR="0024777C" w:rsidRPr="00A87953">
        <w:rPr>
          <w:rFonts w:ascii="Times New Roman" w:hAnsi="Times New Roman"/>
          <w:sz w:val="28"/>
          <w:szCs w:val="28"/>
        </w:rPr>
        <w:t>as it then was.</w:t>
      </w:r>
      <w:r w:rsidR="00B73F33">
        <w:rPr>
          <w:rFonts w:ascii="Times New Roman" w:hAnsi="Times New Roman"/>
          <w:sz w:val="28"/>
          <w:szCs w:val="28"/>
        </w:rPr>
        <w:t xml:space="preserve"> </w:t>
      </w:r>
      <w:r w:rsidR="0024777C" w:rsidRPr="00A87953">
        <w:rPr>
          <w:rFonts w:ascii="Times New Roman" w:hAnsi="Times New Roman"/>
          <w:sz w:val="28"/>
          <w:szCs w:val="28"/>
        </w:rPr>
        <w:t>The first application was dismissed by consent becau</w:t>
      </w:r>
      <w:r w:rsidR="000F0A7A" w:rsidRPr="00A87953">
        <w:rPr>
          <w:rFonts w:ascii="Times New Roman" w:hAnsi="Times New Roman"/>
          <w:sz w:val="28"/>
          <w:szCs w:val="28"/>
        </w:rPr>
        <w:t>se of an absence of evidence that the worker had 30 per cent</w:t>
      </w:r>
      <w:r w:rsidR="0024777C" w:rsidRPr="00A87953">
        <w:rPr>
          <w:rFonts w:ascii="Times New Roman" w:hAnsi="Times New Roman"/>
          <w:sz w:val="28"/>
          <w:szCs w:val="28"/>
        </w:rPr>
        <w:t xml:space="preserve"> impairment.</w:t>
      </w:r>
      <w:r w:rsidR="00B73F33">
        <w:rPr>
          <w:rFonts w:ascii="Times New Roman" w:hAnsi="Times New Roman"/>
          <w:sz w:val="28"/>
          <w:szCs w:val="28"/>
        </w:rPr>
        <w:t xml:space="preserve"> </w:t>
      </w:r>
      <w:r w:rsidR="0024777C" w:rsidRPr="00A87953">
        <w:rPr>
          <w:rFonts w:ascii="Times New Roman" w:hAnsi="Times New Roman"/>
          <w:sz w:val="28"/>
          <w:szCs w:val="28"/>
        </w:rPr>
        <w:t>However the worker</w:t>
      </w:r>
      <w:r w:rsidR="000F0A7A" w:rsidRPr="00A87953">
        <w:rPr>
          <w:rFonts w:ascii="Times New Roman" w:hAnsi="Times New Roman"/>
          <w:sz w:val="28"/>
          <w:szCs w:val="28"/>
        </w:rPr>
        <w:t>, later armed with more evidence about his condition,</w:t>
      </w:r>
      <w:r w:rsidR="0024777C" w:rsidRPr="00A87953">
        <w:rPr>
          <w:rFonts w:ascii="Times New Roman" w:hAnsi="Times New Roman"/>
          <w:sz w:val="28"/>
          <w:szCs w:val="28"/>
        </w:rPr>
        <w:t xml:space="preserve"> made a second application.</w:t>
      </w:r>
      <w:r w:rsidR="00B73F33">
        <w:rPr>
          <w:rFonts w:ascii="Times New Roman" w:hAnsi="Times New Roman"/>
          <w:sz w:val="28"/>
          <w:szCs w:val="28"/>
        </w:rPr>
        <w:t xml:space="preserve"> </w:t>
      </w:r>
      <w:r w:rsidR="0024777C" w:rsidRPr="00A87953">
        <w:rPr>
          <w:rFonts w:ascii="Times New Roman" w:hAnsi="Times New Roman"/>
          <w:sz w:val="28"/>
          <w:szCs w:val="28"/>
        </w:rPr>
        <w:t>Evans J found that there was no issue estoppel</w:t>
      </w:r>
      <w:r w:rsidR="000F0A7A" w:rsidRPr="00A87953">
        <w:rPr>
          <w:rFonts w:ascii="Times New Roman" w:hAnsi="Times New Roman"/>
          <w:sz w:val="28"/>
          <w:szCs w:val="28"/>
        </w:rPr>
        <w:t xml:space="preserve"> b</w:t>
      </w:r>
      <w:r w:rsidR="0024777C" w:rsidRPr="00A87953">
        <w:rPr>
          <w:rFonts w:ascii="Times New Roman" w:hAnsi="Times New Roman"/>
          <w:sz w:val="28"/>
          <w:szCs w:val="28"/>
        </w:rPr>
        <w:t xml:space="preserve">ecause </w:t>
      </w:r>
      <w:r w:rsidR="000F0A7A" w:rsidRPr="00A87953">
        <w:rPr>
          <w:rFonts w:ascii="Times New Roman" w:hAnsi="Times New Roman"/>
          <w:sz w:val="28"/>
          <w:szCs w:val="28"/>
        </w:rPr>
        <w:t xml:space="preserve">the law allows </w:t>
      </w:r>
      <w:r w:rsidR="0024777C" w:rsidRPr="00A87953">
        <w:rPr>
          <w:rFonts w:ascii="Times New Roman" w:hAnsi="Times New Roman"/>
          <w:sz w:val="28"/>
          <w:szCs w:val="28"/>
        </w:rPr>
        <w:t xml:space="preserve">more than one application </w:t>
      </w:r>
      <w:r w:rsidR="000F0A7A" w:rsidRPr="00A87953">
        <w:rPr>
          <w:rFonts w:ascii="Times New Roman" w:hAnsi="Times New Roman"/>
          <w:sz w:val="28"/>
          <w:szCs w:val="28"/>
        </w:rPr>
        <w:t>for</w:t>
      </w:r>
      <w:r w:rsidR="0024777C" w:rsidRPr="00A87953">
        <w:rPr>
          <w:rFonts w:ascii="Times New Roman" w:hAnsi="Times New Roman"/>
          <w:sz w:val="28"/>
          <w:szCs w:val="28"/>
        </w:rPr>
        <w:t xml:space="preserve"> an extension of time </w:t>
      </w:r>
      <w:r w:rsidR="000F0A7A" w:rsidRPr="00A87953">
        <w:rPr>
          <w:rFonts w:ascii="Times New Roman" w:hAnsi="Times New Roman"/>
          <w:sz w:val="28"/>
          <w:szCs w:val="28"/>
        </w:rPr>
        <w:t>to</w:t>
      </w:r>
      <w:r w:rsidR="0024777C" w:rsidRPr="00A87953">
        <w:rPr>
          <w:rFonts w:ascii="Times New Roman" w:hAnsi="Times New Roman"/>
          <w:sz w:val="28"/>
          <w:szCs w:val="28"/>
        </w:rPr>
        <w:t xml:space="preserve"> be made</w:t>
      </w:r>
      <w:r w:rsidR="000F0A7A" w:rsidRPr="00A87953">
        <w:rPr>
          <w:rFonts w:ascii="Times New Roman" w:hAnsi="Times New Roman"/>
          <w:sz w:val="28"/>
          <w:szCs w:val="28"/>
        </w:rPr>
        <w:t>.</w:t>
      </w:r>
      <w:r w:rsidR="00B73F33">
        <w:rPr>
          <w:rFonts w:ascii="Times New Roman" w:hAnsi="Times New Roman"/>
          <w:sz w:val="28"/>
          <w:szCs w:val="28"/>
        </w:rPr>
        <w:t xml:space="preserve"> </w:t>
      </w:r>
      <w:r w:rsidR="000F0A7A" w:rsidRPr="00A87953">
        <w:rPr>
          <w:rFonts w:ascii="Times New Roman" w:hAnsi="Times New Roman"/>
          <w:sz w:val="28"/>
          <w:szCs w:val="28"/>
        </w:rPr>
        <w:t>As a result, t</w:t>
      </w:r>
      <w:r w:rsidR="0024777C" w:rsidRPr="00A87953">
        <w:rPr>
          <w:rFonts w:ascii="Times New Roman" w:hAnsi="Times New Roman"/>
          <w:sz w:val="28"/>
          <w:szCs w:val="28"/>
        </w:rPr>
        <w:t>he dismissal of the first application was not a final determination of any issue between the parties</w:t>
      </w:r>
      <w:r w:rsidR="003B1AA8" w:rsidRPr="00A87953">
        <w:rPr>
          <w:rFonts w:ascii="Times New Roman" w:hAnsi="Times New Roman"/>
          <w:sz w:val="28"/>
          <w:szCs w:val="28"/>
        </w:rPr>
        <w:t>.</w:t>
      </w:r>
      <w:r w:rsidR="00677C7F" w:rsidRPr="00A87953">
        <w:rPr>
          <w:rStyle w:val="FootnoteReference"/>
          <w:rFonts w:ascii="Times New Roman" w:hAnsi="Times New Roman"/>
          <w:sz w:val="28"/>
          <w:szCs w:val="28"/>
        </w:rPr>
        <w:footnoteReference w:id="9"/>
      </w:r>
    </w:p>
    <w:p w:rsidR="00D77B4E"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772C7C" w:rsidRPr="00A87953">
        <w:rPr>
          <w:rFonts w:ascii="Times New Roman" w:hAnsi="Times New Roman"/>
          <w:sz w:val="28"/>
          <w:szCs w:val="28"/>
        </w:rPr>
        <w:t>The issue of finality has been considered in two recent decisions of the High Court.</w:t>
      </w:r>
      <w:r w:rsidR="00B73F33">
        <w:rPr>
          <w:rFonts w:ascii="Times New Roman" w:hAnsi="Times New Roman"/>
          <w:sz w:val="28"/>
          <w:szCs w:val="28"/>
        </w:rPr>
        <w:t xml:space="preserve"> </w:t>
      </w:r>
      <w:r w:rsidR="00052E1A" w:rsidRPr="00A87953">
        <w:rPr>
          <w:rFonts w:ascii="Times New Roman" w:hAnsi="Times New Roman"/>
          <w:sz w:val="28"/>
          <w:szCs w:val="28"/>
        </w:rPr>
        <w:t xml:space="preserve">It seems to me that the decisions have somewhat narrowed the notion </w:t>
      </w:r>
      <w:r w:rsidR="00052E1A" w:rsidRPr="00A87953">
        <w:rPr>
          <w:rFonts w:ascii="Times New Roman" w:hAnsi="Times New Roman"/>
          <w:sz w:val="28"/>
          <w:szCs w:val="28"/>
        </w:rPr>
        <w:lastRenderedPageBreak/>
        <w:t>of finality.</w:t>
      </w:r>
      <w:r w:rsidR="00B73F33">
        <w:rPr>
          <w:rFonts w:ascii="Times New Roman" w:hAnsi="Times New Roman"/>
          <w:sz w:val="28"/>
          <w:szCs w:val="28"/>
        </w:rPr>
        <w:t xml:space="preserve"> </w:t>
      </w:r>
      <w:r w:rsidR="00772C7C" w:rsidRPr="00A87953">
        <w:rPr>
          <w:rFonts w:ascii="Times New Roman" w:hAnsi="Times New Roman"/>
          <w:sz w:val="28"/>
          <w:szCs w:val="28"/>
        </w:rPr>
        <w:t xml:space="preserve">The first is </w:t>
      </w:r>
      <w:r w:rsidR="00772C7C" w:rsidRPr="00A87953">
        <w:rPr>
          <w:rFonts w:ascii="Times New Roman" w:hAnsi="Times New Roman"/>
          <w:i/>
          <w:sz w:val="28"/>
          <w:szCs w:val="28"/>
        </w:rPr>
        <w:t>Maurice Blackburn Cashman v Brown</w:t>
      </w:r>
      <w:r w:rsidR="00772C7C" w:rsidRPr="00A87953">
        <w:rPr>
          <w:rStyle w:val="FootnoteReference"/>
          <w:rFonts w:ascii="Times New Roman" w:hAnsi="Times New Roman"/>
          <w:i/>
          <w:sz w:val="28"/>
          <w:szCs w:val="28"/>
        </w:rPr>
        <w:footnoteReference w:id="10"/>
      </w:r>
      <w:r w:rsidR="00772C7C" w:rsidRPr="00A87953">
        <w:rPr>
          <w:rFonts w:ascii="Times New Roman" w:hAnsi="Times New Roman"/>
          <w:sz w:val="28"/>
          <w:szCs w:val="28"/>
        </w:rPr>
        <w:t xml:space="preserve">. Ms Brown was a salaried partner at Maurice Blackburn </w:t>
      </w:r>
      <w:r w:rsidR="00D77B4E" w:rsidRPr="00A87953">
        <w:rPr>
          <w:rFonts w:ascii="Times New Roman" w:hAnsi="Times New Roman"/>
          <w:sz w:val="28"/>
          <w:szCs w:val="28"/>
        </w:rPr>
        <w:t xml:space="preserve">in Melbourne </w:t>
      </w:r>
      <w:r w:rsidR="00772C7C" w:rsidRPr="00A87953">
        <w:rPr>
          <w:rFonts w:ascii="Times New Roman" w:hAnsi="Times New Roman"/>
          <w:sz w:val="28"/>
          <w:szCs w:val="28"/>
        </w:rPr>
        <w:t>who claimed to have been bullied at work.</w:t>
      </w:r>
      <w:r w:rsidR="00B73F33">
        <w:rPr>
          <w:rFonts w:ascii="Times New Roman" w:hAnsi="Times New Roman"/>
          <w:sz w:val="28"/>
          <w:szCs w:val="28"/>
        </w:rPr>
        <w:t xml:space="preserve"> </w:t>
      </w:r>
      <w:r w:rsidR="00772C7C" w:rsidRPr="00A87953">
        <w:rPr>
          <w:rFonts w:ascii="Times New Roman" w:hAnsi="Times New Roman"/>
          <w:sz w:val="28"/>
          <w:szCs w:val="28"/>
        </w:rPr>
        <w:t>She made a claim for permanent psychiatric impairment.</w:t>
      </w:r>
      <w:r w:rsidR="00B73F33">
        <w:rPr>
          <w:rFonts w:ascii="Times New Roman" w:hAnsi="Times New Roman"/>
          <w:sz w:val="28"/>
          <w:szCs w:val="28"/>
        </w:rPr>
        <w:t xml:space="preserve"> </w:t>
      </w:r>
      <w:r w:rsidR="00772C7C" w:rsidRPr="00A87953">
        <w:rPr>
          <w:rFonts w:ascii="Times New Roman" w:hAnsi="Times New Roman"/>
          <w:sz w:val="28"/>
          <w:szCs w:val="28"/>
        </w:rPr>
        <w:t>WorkCover accepted that she had an injury arising from her employment but a dispute arose about the degree of her impairment.</w:t>
      </w:r>
      <w:r w:rsidR="00B73F33">
        <w:rPr>
          <w:rFonts w:ascii="Times New Roman" w:hAnsi="Times New Roman"/>
          <w:sz w:val="28"/>
          <w:szCs w:val="28"/>
        </w:rPr>
        <w:t xml:space="preserve"> </w:t>
      </w:r>
      <w:r w:rsidR="00772C7C" w:rsidRPr="00A87953">
        <w:rPr>
          <w:rFonts w:ascii="Times New Roman" w:hAnsi="Times New Roman"/>
          <w:sz w:val="28"/>
          <w:szCs w:val="28"/>
        </w:rPr>
        <w:t xml:space="preserve">The dispute was referred to a medical panel which determined her </w:t>
      </w:r>
      <w:r w:rsidR="007B5E7C" w:rsidRPr="00A87953">
        <w:rPr>
          <w:rFonts w:ascii="Times New Roman" w:hAnsi="Times New Roman"/>
          <w:sz w:val="28"/>
          <w:szCs w:val="28"/>
        </w:rPr>
        <w:t xml:space="preserve">psychiatric </w:t>
      </w:r>
      <w:r w:rsidR="00772C7C" w:rsidRPr="00A87953">
        <w:rPr>
          <w:rFonts w:ascii="Times New Roman" w:hAnsi="Times New Roman"/>
          <w:sz w:val="28"/>
          <w:szCs w:val="28"/>
        </w:rPr>
        <w:t>impairment at 30 per cent.</w:t>
      </w:r>
      <w:r w:rsidR="00B73F33">
        <w:rPr>
          <w:rFonts w:ascii="Times New Roman" w:hAnsi="Times New Roman"/>
          <w:sz w:val="28"/>
          <w:szCs w:val="28"/>
        </w:rPr>
        <w:t xml:space="preserve"> </w:t>
      </w:r>
      <w:r w:rsidR="00772C7C" w:rsidRPr="00A87953">
        <w:rPr>
          <w:rFonts w:ascii="Times New Roman" w:hAnsi="Times New Roman"/>
          <w:sz w:val="28"/>
          <w:szCs w:val="28"/>
        </w:rPr>
        <w:t>That gave her the right to sue for damages</w:t>
      </w:r>
      <w:r w:rsidR="007B5E7C" w:rsidRPr="00A87953">
        <w:rPr>
          <w:rFonts w:ascii="Times New Roman" w:hAnsi="Times New Roman"/>
          <w:sz w:val="28"/>
          <w:szCs w:val="28"/>
        </w:rPr>
        <w:t xml:space="preserve"> because it meant that she had a "serious injury" within the meaning of that term in the legislation</w:t>
      </w:r>
      <w:r w:rsidR="00772C7C" w:rsidRPr="00A87953">
        <w:rPr>
          <w:rFonts w:ascii="Times New Roman" w:hAnsi="Times New Roman"/>
          <w:sz w:val="28"/>
          <w:szCs w:val="28"/>
        </w:rPr>
        <w:t>.</w:t>
      </w:r>
      <w:r w:rsidR="00B73F33">
        <w:rPr>
          <w:rFonts w:ascii="Times New Roman" w:hAnsi="Times New Roman"/>
          <w:sz w:val="28"/>
          <w:szCs w:val="28"/>
        </w:rPr>
        <w:t xml:space="preserve"> </w:t>
      </w:r>
      <w:r w:rsidR="007B5E7C" w:rsidRPr="00A87953">
        <w:rPr>
          <w:rFonts w:ascii="Times New Roman" w:hAnsi="Times New Roman"/>
          <w:sz w:val="28"/>
          <w:szCs w:val="28"/>
        </w:rPr>
        <w:t>She then sued for damages and in those proceedings the defendant denied that she had been injured</w:t>
      </w:r>
      <w:r w:rsidR="00F745F8" w:rsidRPr="00A87953">
        <w:rPr>
          <w:rFonts w:ascii="Times New Roman" w:hAnsi="Times New Roman"/>
          <w:sz w:val="28"/>
          <w:szCs w:val="28"/>
        </w:rPr>
        <w:t xml:space="preserve"> at all</w:t>
      </w:r>
      <w:r w:rsidR="00E76F70" w:rsidRPr="00A87953">
        <w:rPr>
          <w:rFonts w:ascii="Times New Roman" w:hAnsi="Times New Roman"/>
          <w:sz w:val="28"/>
          <w:szCs w:val="28"/>
        </w:rPr>
        <w:t>, or at least the extent of her injury</w:t>
      </w:r>
      <w:r w:rsidR="007B5E7C" w:rsidRPr="00A87953">
        <w:rPr>
          <w:rFonts w:ascii="Times New Roman" w:hAnsi="Times New Roman"/>
          <w:sz w:val="28"/>
          <w:szCs w:val="28"/>
        </w:rPr>
        <w:t>.</w:t>
      </w:r>
      <w:r w:rsidR="00B73F33">
        <w:rPr>
          <w:rFonts w:ascii="Times New Roman" w:hAnsi="Times New Roman"/>
          <w:sz w:val="28"/>
          <w:szCs w:val="28"/>
        </w:rPr>
        <w:t xml:space="preserve"> </w:t>
      </w:r>
      <w:r w:rsidR="007B5E7C" w:rsidRPr="00A87953">
        <w:rPr>
          <w:rFonts w:ascii="Times New Roman" w:hAnsi="Times New Roman"/>
          <w:sz w:val="28"/>
          <w:szCs w:val="28"/>
        </w:rPr>
        <w:t xml:space="preserve">She asked the court to rule that her employer was estopped from </w:t>
      </w:r>
      <w:r w:rsidR="005122A9" w:rsidRPr="00A87953">
        <w:rPr>
          <w:rFonts w:ascii="Times New Roman" w:hAnsi="Times New Roman"/>
          <w:sz w:val="28"/>
          <w:szCs w:val="28"/>
        </w:rPr>
        <w:t xml:space="preserve">calling evidence or </w:t>
      </w:r>
      <w:r w:rsidR="00046317">
        <w:rPr>
          <w:rFonts w:ascii="Times New Roman" w:hAnsi="Times New Roman"/>
          <w:sz w:val="28"/>
          <w:szCs w:val="28"/>
        </w:rPr>
        <w:t>putting arguments that were</w:t>
      </w:r>
      <w:r w:rsidR="007B5E7C" w:rsidRPr="00A87953">
        <w:rPr>
          <w:rFonts w:ascii="Times New Roman" w:hAnsi="Times New Roman"/>
          <w:sz w:val="28"/>
          <w:szCs w:val="28"/>
        </w:rPr>
        <w:t xml:space="preserve"> inconsistent with the decision of the </w:t>
      </w:r>
      <w:r w:rsidR="00E76F70" w:rsidRPr="00A87953">
        <w:rPr>
          <w:rFonts w:ascii="Times New Roman" w:hAnsi="Times New Roman"/>
          <w:sz w:val="28"/>
          <w:szCs w:val="28"/>
        </w:rPr>
        <w:t>medical p</w:t>
      </w:r>
      <w:r w:rsidR="007B5E7C" w:rsidRPr="00A87953">
        <w:rPr>
          <w:rFonts w:ascii="Times New Roman" w:hAnsi="Times New Roman"/>
          <w:sz w:val="28"/>
          <w:szCs w:val="28"/>
        </w:rPr>
        <w:t>anel</w:t>
      </w:r>
      <w:r w:rsidR="005122A9" w:rsidRPr="00A87953">
        <w:rPr>
          <w:rFonts w:ascii="Times New Roman" w:hAnsi="Times New Roman"/>
          <w:sz w:val="28"/>
          <w:szCs w:val="28"/>
        </w:rPr>
        <w:t>.</w:t>
      </w:r>
      <w:r w:rsidR="00B73F33">
        <w:rPr>
          <w:rFonts w:ascii="Times New Roman" w:hAnsi="Times New Roman"/>
          <w:sz w:val="28"/>
          <w:szCs w:val="28"/>
        </w:rPr>
        <w:t xml:space="preserve"> </w:t>
      </w:r>
      <w:r w:rsidR="005122A9" w:rsidRPr="00A87953">
        <w:rPr>
          <w:rFonts w:ascii="Times New Roman" w:hAnsi="Times New Roman"/>
          <w:sz w:val="28"/>
          <w:szCs w:val="28"/>
        </w:rPr>
        <w:t xml:space="preserve">She </w:t>
      </w:r>
      <w:r w:rsidR="00E76F70" w:rsidRPr="00A87953">
        <w:rPr>
          <w:rFonts w:ascii="Times New Roman" w:hAnsi="Times New Roman"/>
          <w:sz w:val="28"/>
          <w:szCs w:val="28"/>
        </w:rPr>
        <w:t>asserted</w:t>
      </w:r>
      <w:r w:rsidR="005122A9" w:rsidRPr="00A87953">
        <w:rPr>
          <w:rFonts w:ascii="Times New Roman" w:hAnsi="Times New Roman"/>
          <w:sz w:val="28"/>
          <w:szCs w:val="28"/>
        </w:rPr>
        <w:t xml:space="preserve"> that the employer should be estopped from arguing that she did not have a serious injury and that she did not have </w:t>
      </w:r>
      <w:r w:rsidR="00153B88">
        <w:rPr>
          <w:rFonts w:ascii="Times New Roman" w:hAnsi="Times New Roman"/>
          <w:sz w:val="28"/>
          <w:szCs w:val="28"/>
        </w:rPr>
        <w:t xml:space="preserve">a </w:t>
      </w:r>
      <w:r w:rsidR="005122A9" w:rsidRPr="00A87953">
        <w:rPr>
          <w:rFonts w:ascii="Times New Roman" w:hAnsi="Times New Roman"/>
          <w:sz w:val="28"/>
          <w:szCs w:val="28"/>
        </w:rPr>
        <w:t>psychological injury arising from her employment.</w:t>
      </w:r>
      <w:r w:rsidR="00B73F33">
        <w:rPr>
          <w:rFonts w:ascii="Times New Roman" w:hAnsi="Times New Roman"/>
          <w:sz w:val="28"/>
          <w:szCs w:val="28"/>
        </w:rPr>
        <w:t xml:space="preserve"> </w:t>
      </w:r>
      <w:r w:rsidR="005122A9" w:rsidRPr="00A87953">
        <w:rPr>
          <w:rFonts w:ascii="Times New Roman" w:hAnsi="Times New Roman"/>
          <w:sz w:val="28"/>
          <w:szCs w:val="28"/>
        </w:rPr>
        <w:t>The High Court found that there was no issue estoppel, even though the workers compensation legislation said that the decisions of the panel were final and binding.</w:t>
      </w:r>
      <w:r w:rsidR="00B73F33">
        <w:rPr>
          <w:rFonts w:ascii="Times New Roman" w:hAnsi="Times New Roman"/>
          <w:sz w:val="28"/>
          <w:szCs w:val="28"/>
        </w:rPr>
        <w:t xml:space="preserve"> </w:t>
      </w:r>
      <w:r w:rsidR="00DD7240" w:rsidRPr="00A87953">
        <w:rPr>
          <w:rFonts w:ascii="Times New Roman" w:hAnsi="Times New Roman"/>
          <w:sz w:val="28"/>
          <w:szCs w:val="28"/>
        </w:rPr>
        <w:t>It did so largely based on a proposition that the legislation itself, properly construed, contemplated that steps taken under the Act were irrelevant to later common law proceedings.</w:t>
      </w:r>
      <w:r w:rsidR="00B73F33">
        <w:rPr>
          <w:rFonts w:ascii="Times New Roman" w:hAnsi="Times New Roman"/>
          <w:sz w:val="28"/>
          <w:szCs w:val="28"/>
        </w:rPr>
        <w:t xml:space="preserve"> </w:t>
      </w:r>
      <w:r w:rsidR="005122A9" w:rsidRPr="00A87953">
        <w:rPr>
          <w:rFonts w:ascii="Times New Roman" w:hAnsi="Times New Roman"/>
          <w:sz w:val="28"/>
          <w:szCs w:val="28"/>
        </w:rPr>
        <w:t xml:space="preserve">The Court reasoned that the panel decision was final but only for the purposes of the workers compensation </w:t>
      </w:r>
      <w:r w:rsidR="00DD7240" w:rsidRPr="00A87953">
        <w:rPr>
          <w:rFonts w:ascii="Times New Roman" w:hAnsi="Times New Roman"/>
          <w:sz w:val="28"/>
          <w:szCs w:val="28"/>
        </w:rPr>
        <w:t xml:space="preserve">legislation and </w:t>
      </w:r>
      <w:r w:rsidR="005122A9" w:rsidRPr="00A87953">
        <w:rPr>
          <w:rFonts w:ascii="Times New Roman" w:hAnsi="Times New Roman"/>
          <w:sz w:val="28"/>
          <w:szCs w:val="28"/>
        </w:rPr>
        <w:t>the</w:t>
      </w:r>
      <w:r w:rsidR="00772C7C" w:rsidRPr="00A87953">
        <w:rPr>
          <w:rFonts w:ascii="Times New Roman" w:hAnsi="Times New Roman"/>
          <w:sz w:val="28"/>
          <w:szCs w:val="28"/>
        </w:rPr>
        <w:t xml:space="preserve"> finali</w:t>
      </w:r>
      <w:r w:rsidR="00D77B4E" w:rsidRPr="00A87953">
        <w:rPr>
          <w:rFonts w:ascii="Times New Roman" w:hAnsi="Times New Roman"/>
          <w:sz w:val="28"/>
          <w:szCs w:val="28"/>
        </w:rPr>
        <w:t xml:space="preserve">ty </w:t>
      </w:r>
      <w:r w:rsidR="005122A9" w:rsidRPr="00A87953">
        <w:rPr>
          <w:rFonts w:ascii="Times New Roman" w:hAnsi="Times New Roman"/>
          <w:sz w:val="28"/>
          <w:szCs w:val="28"/>
        </w:rPr>
        <w:t>of the decision did not extend beyond that statutory context.</w:t>
      </w:r>
    </w:p>
    <w:p w:rsidR="00CD1240"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D77B4E" w:rsidRPr="00A87953">
        <w:rPr>
          <w:rFonts w:ascii="Times New Roman" w:hAnsi="Times New Roman"/>
          <w:sz w:val="28"/>
          <w:szCs w:val="28"/>
        </w:rPr>
        <w:t xml:space="preserve">Ms </w:t>
      </w:r>
      <w:r w:rsidR="003C002B" w:rsidRPr="00A87953">
        <w:rPr>
          <w:rFonts w:ascii="Times New Roman" w:hAnsi="Times New Roman"/>
          <w:sz w:val="28"/>
          <w:szCs w:val="28"/>
        </w:rPr>
        <w:t>Brown's</w:t>
      </w:r>
      <w:r w:rsidR="00D77B4E" w:rsidRPr="00A87953">
        <w:rPr>
          <w:rFonts w:ascii="Times New Roman" w:hAnsi="Times New Roman"/>
          <w:sz w:val="28"/>
          <w:szCs w:val="28"/>
        </w:rPr>
        <w:t xml:space="preserve"> case was applied last year in </w:t>
      </w:r>
      <w:r w:rsidR="00D77B4E" w:rsidRPr="00A87953">
        <w:rPr>
          <w:rFonts w:ascii="Times New Roman" w:hAnsi="Times New Roman"/>
          <w:i/>
          <w:sz w:val="28"/>
          <w:szCs w:val="28"/>
        </w:rPr>
        <w:t>Wingfoot Australia v Kovak</w:t>
      </w:r>
      <w:r w:rsidR="00D77B4E" w:rsidRPr="00A87953">
        <w:rPr>
          <w:rStyle w:val="FootnoteReference"/>
          <w:rFonts w:ascii="Times New Roman" w:hAnsi="Times New Roman"/>
          <w:i/>
          <w:sz w:val="28"/>
          <w:szCs w:val="28"/>
        </w:rPr>
        <w:footnoteReference w:id="11"/>
      </w:r>
      <w:r w:rsidR="00D77B4E" w:rsidRPr="00A87953">
        <w:rPr>
          <w:rFonts w:ascii="Times New Roman" w:hAnsi="Times New Roman"/>
          <w:sz w:val="28"/>
          <w:szCs w:val="28"/>
        </w:rPr>
        <w:t>.</w:t>
      </w:r>
      <w:r w:rsidR="00B73F33">
        <w:rPr>
          <w:rFonts w:ascii="Times New Roman" w:hAnsi="Times New Roman"/>
          <w:sz w:val="28"/>
          <w:szCs w:val="28"/>
        </w:rPr>
        <w:t xml:space="preserve"> </w:t>
      </w:r>
      <w:r w:rsidR="00D77B4E" w:rsidRPr="00A87953">
        <w:rPr>
          <w:rFonts w:ascii="Times New Roman" w:hAnsi="Times New Roman"/>
          <w:sz w:val="28"/>
          <w:szCs w:val="28"/>
        </w:rPr>
        <w:t>This is another Victorian case.</w:t>
      </w:r>
      <w:r w:rsidR="00B73F33">
        <w:rPr>
          <w:rFonts w:ascii="Times New Roman" w:hAnsi="Times New Roman"/>
          <w:sz w:val="28"/>
          <w:szCs w:val="28"/>
        </w:rPr>
        <w:t xml:space="preserve"> </w:t>
      </w:r>
      <w:r w:rsidR="00D77B4E" w:rsidRPr="00A87953">
        <w:rPr>
          <w:rFonts w:ascii="Times New Roman" w:hAnsi="Times New Roman"/>
          <w:sz w:val="28"/>
          <w:szCs w:val="28"/>
        </w:rPr>
        <w:t>Mr Kovak suffered a neck injury at work.</w:t>
      </w:r>
      <w:r w:rsidR="00B73F33">
        <w:rPr>
          <w:rFonts w:ascii="Times New Roman" w:hAnsi="Times New Roman"/>
          <w:sz w:val="28"/>
          <w:szCs w:val="28"/>
        </w:rPr>
        <w:t xml:space="preserve"> </w:t>
      </w:r>
      <w:r w:rsidR="00D77B4E" w:rsidRPr="00A87953">
        <w:rPr>
          <w:rFonts w:ascii="Times New Roman" w:hAnsi="Times New Roman"/>
          <w:sz w:val="28"/>
          <w:szCs w:val="28"/>
        </w:rPr>
        <w:t>He claimed workers compensation and also applied for leave to sue at common law in the County Court.</w:t>
      </w:r>
      <w:r w:rsidR="00B73F33">
        <w:rPr>
          <w:rFonts w:ascii="Times New Roman" w:hAnsi="Times New Roman"/>
          <w:sz w:val="28"/>
          <w:szCs w:val="28"/>
        </w:rPr>
        <w:t xml:space="preserve"> </w:t>
      </w:r>
      <w:r w:rsidR="00D77B4E" w:rsidRPr="00A87953">
        <w:rPr>
          <w:rFonts w:ascii="Times New Roman" w:hAnsi="Times New Roman"/>
          <w:sz w:val="28"/>
          <w:szCs w:val="28"/>
        </w:rPr>
        <w:t>A medical panel determined questions in the workers compensation proceedings and the question was whether it created an issue estoppel in the application for leave.</w:t>
      </w:r>
      <w:r w:rsidR="00B73F33">
        <w:rPr>
          <w:rFonts w:ascii="Times New Roman" w:hAnsi="Times New Roman"/>
          <w:sz w:val="28"/>
          <w:szCs w:val="28"/>
        </w:rPr>
        <w:t xml:space="preserve"> </w:t>
      </w:r>
      <w:r w:rsidR="002D25C8" w:rsidRPr="00A87953">
        <w:rPr>
          <w:rFonts w:ascii="Times New Roman" w:hAnsi="Times New Roman"/>
          <w:sz w:val="28"/>
          <w:szCs w:val="28"/>
        </w:rPr>
        <w:t>Again, t</w:t>
      </w:r>
      <w:r w:rsidR="00D77B4E" w:rsidRPr="00A87953">
        <w:rPr>
          <w:rFonts w:ascii="Times New Roman" w:hAnsi="Times New Roman"/>
          <w:sz w:val="28"/>
          <w:szCs w:val="28"/>
        </w:rPr>
        <w:t xml:space="preserve">he High Court found it did not because any finality of the </w:t>
      </w:r>
      <w:r w:rsidR="003C002B" w:rsidRPr="00A87953">
        <w:rPr>
          <w:rFonts w:ascii="Times New Roman" w:hAnsi="Times New Roman"/>
          <w:sz w:val="28"/>
          <w:szCs w:val="28"/>
        </w:rPr>
        <w:t>panel's</w:t>
      </w:r>
      <w:r w:rsidR="00D77B4E" w:rsidRPr="00A87953">
        <w:rPr>
          <w:rFonts w:ascii="Times New Roman" w:hAnsi="Times New Roman"/>
          <w:sz w:val="28"/>
          <w:szCs w:val="28"/>
        </w:rPr>
        <w:t xml:space="preserve"> opinion was confined to proceedings under the Act</w:t>
      </w:r>
      <w:r w:rsidR="003C002B" w:rsidRPr="00A87953">
        <w:rPr>
          <w:rFonts w:ascii="Times New Roman" w:hAnsi="Times New Roman"/>
          <w:sz w:val="28"/>
          <w:szCs w:val="28"/>
        </w:rPr>
        <w:t xml:space="preserve"> and it had no continuing legal consequence beyond that</w:t>
      </w:r>
      <w:r w:rsidR="00D77B4E" w:rsidRPr="00A87953">
        <w:rPr>
          <w:rFonts w:ascii="Times New Roman" w:hAnsi="Times New Roman"/>
          <w:sz w:val="28"/>
          <w:szCs w:val="28"/>
        </w:rPr>
        <w:t>.</w:t>
      </w:r>
    </w:p>
    <w:p w:rsidR="007F0838" w:rsidRPr="00A87953" w:rsidRDefault="002D25C8" w:rsidP="00817310">
      <w:pPr>
        <w:jc w:val="both"/>
        <w:rPr>
          <w:rFonts w:ascii="Times New Roman" w:hAnsi="Times New Roman"/>
          <w:sz w:val="28"/>
          <w:szCs w:val="28"/>
        </w:rPr>
      </w:pPr>
      <w:r w:rsidRPr="00A87953">
        <w:rPr>
          <w:rFonts w:ascii="Times New Roman" w:hAnsi="Times New Roman"/>
          <w:sz w:val="28"/>
          <w:szCs w:val="28"/>
        </w:rPr>
        <w:tab/>
      </w:r>
      <w:r w:rsidR="00C531CF" w:rsidRPr="00A87953">
        <w:rPr>
          <w:rFonts w:ascii="Times New Roman" w:hAnsi="Times New Roman"/>
          <w:sz w:val="28"/>
          <w:szCs w:val="28"/>
        </w:rPr>
        <w:t xml:space="preserve">I will return later to the issue of issue estoppel and workers compensation proceedings in Tasmania. </w:t>
      </w:r>
    </w:p>
    <w:p w:rsidR="00B01515" w:rsidRPr="00A87953" w:rsidRDefault="00B01515" w:rsidP="00817310">
      <w:pPr>
        <w:jc w:val="both"/>
        <w:rPr>
          <w:rFonts w:ascii="Times New Roman" w:hAnsi="Times New Roman"/>
          <w:b/>
          <w:bCs/>
          <w:sz w:val="28"/>
          <w:szCs w:val="28"/>
        </w:rPr>
      </w:pPr>
      <w:r w:rsidRPr="00A87953">
        <w:rPr>
          <w:rFonts w:ascii="Times New Roman" w:hAnsi="Times New Roman"/>
          <w:b/>
          <w:bCs/>
          <w:sz w:val="28"/>
          <w:szCs w:val="28"/>
        </w:rPr>
        <w:lastRenderedPageBreak/>
        <w:t>The same question</w:t>
      </w:r>
    </w:p>
    <w:p w:rsidR="00060488"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E76F70" w:rsidRPr="00A87953">
        <w:rPr>
          <w:rFonts w:ascii="Times New Roman" w:hAnsi="Times New Roman"/>
          <w:sz w:val="28"/>
          <w:szCs w:val="28"/>
        </w:rPr>
        <w:t>The second precondition to the existence of an issue estoppel is whether</w:t>
      </w:r>
      <w:r w:rsidR="00B01515" w:rsidRPr="00A87953">
        <w:rPr>
          <w:rFonts w:ascii="Times New Roman" w:hAnsi="Times New Roman"/>
          <w:sz w:val="28"/>
          <w:szCs w:val="28"/>
        </w:rPr>
        <w:t xml:space="preserve"> the same question </w:t>
      </w:r>
      <w:r w:rsidR="00E76F70" w:rsidRPr="00A87953">
        <w:rPr>
          <w:rFonts w:ascii="Times New Roman" w:hAnsi="Times New Roman"/>
          <w:sz w:val="28"/>
          <w:szCs w:val="28"/>
        </w:rPr>
        <w:t xml:space="preserve">has </w:t>
      </w:r>
      <w:r w:rsidR="00B01515" w:rsidRPr="00A87953">
        <w:rPr>
          <w:rFonts w:ascii="Times New Roman" w:hAnsi="Times New Roman"/>
          <w:sz w:val="28"/>
          <w:szCs w:val="28"/>
        </w:rPr>
        <w:t>been decided?</w:t>
      </w:r>
      <w:r w:rsidR="00B73F33">
        <w:rPr>
          <w:rFonts w:ascii="Times New Roman" w:hAnsi="Times New Roman"/>
          <w:sz w:val="28"/>
          <w:szCs w:val="28"/>
        </w:rPr>
        <w:t xml:space="preserve"> </w:t>
      </w:r>
      <w:r w:rsidR="003B1AA8" w:rsidRPr="00A87953">
        <w:rPr>
          <w:rFonts w:ascii="Times New Roman" w:hAnsi="Times New Roman"/>
          <w:sz w:val="28"/>
          <w:szCs w:val="28"/>
        </w:rPr>
        <w:t xml:space="preserve">I referred earlier to </w:t>
      </w:r>
      <w:r w:rsidR="00E76F70" w:rsidRPr="00A87953">
        <w:rPr>
          <w:rFonts w:ascii="Times New Roman" w:hAnsi="Times New Roman"/>
          <w:sz w:val="28"/>
          <w:szCs w:val="28"/>
        </w:rPr>
        <w:t xml:space="preserve">the 1939 decision in </w:t>
      </w:r>
      <w:r w:rsidR="003B1AA8" w:rsidRPr="00A87953">
        <w:rPr>
          <w:rFonts w:ascii="Times New Roman" w:hAnsi="Times New Roman"/>
          <w:i/>
          <w:sz w:val="28"/>
          <w:szCs w:val="28"/>
        </w:rPr>
        <w:t>Blair v Curran</w:t>
      </w:r>
      <w:r w:rsidR="00060488" w:rsidRPr="00A87953">
        <w:rPr>
          <w:rFonts w:ascii="Times New Roman" w:hAnsi="Times New Roman"/>
          <w:sz w:val="28"/>
          <w:szCs w:val="28"/>
        </w:rPr>
        <w:t>.</w:t>
      </w:r>
      <w:r w:rsidR="00B73F33">
        <w:rPr>
          <w:rFonts w:ascii="Times New Roman" w:hAnsi="Times New Roman"/>
          <w:sz w:val="28"/>
          <w:szCs w:val="28"/>
        </w:rPr>
        <w:t xml:space="preserve"> </w:t>
      </w:r>
      <w:r w:rsidR="00060488" w:rsidRPr="00A87953">
        <w:rPr>
          <w:rFonts w:ascii="Times New Roman" w:hAnsi="Times New Roman"/>
          <w:sz w:val="28"/>
          <w:szCs w:val="28"/>
        </w:rPr>
        <w:t xml:space="preserve">That </w:t>
      </w:r>
      <w:r w:rsidR="00F22662" w:rsidRPr="00A87953">
        <w:rPr>
          <w:rFonts w:ascii="Times New Roman" w:hAnsi="Times New Roman"/>
          <w:sz w:val="28"/>
          <w:szCs w:val="28"/>
        </w:rPr>
        <w:t xml:space="preserve">was </w:t>
      </w:r>
      <w:r w:rsidR="00060488" w:rsidRPr="00A87953">
        <w:rPr>
          <w:rFonts w:ascii="Times New Roman" w:hAnsi="Times New Roman"/>
          <w:sz w:val="28"/>
          <w:szCs w:val="28"/>
        </w:rPr>
        <w:t xml:space="preserve">an appeal to the High Court from a judgment of </w:t>
      </w:r>
      <w:r w:rsidR="00E76F70" w:rsidRPr="00A87953">
        <w:rPr>
          <w:rFonts w:ascii="Times New Roman" w:hAnsi="Times New Roman"/>
          <w:sz w:val="28"/>
          <w:szCs w:val="28"/>
        </w:rPr>
        <w:t xml:space="preserve">Justice Clarke in </w:t>
      </w:r>
      <w:r w:rsidR="00060488" w:rsidRPr="00A87953">
        <w:rPr>
          <w:rFonts w:ascii="Times New Roman" w:hAnsi="Times New Roman"/>
          <w:sz w:val="28"/>
          <w:szCs w:val="28"/>
        </w:rPr>
        <w:t xml:space="preserve">the Supreme Court of </w:t>
      </w:r>
      <w:r w:rsidR="009750CE" w:rsidRPr="00A87953">
        <w:rPr>
          <w:rFonts w:ascii="Times New Roman" w:hAnsi="Times New Roman"/>
          <w:sz w:val="28"/>
          <w:szCs w:val="28"/>
        </w:rPr>
        <w:t>Tasmania arising</w:t>
      </w:r>
      <w:r w:rsidR="00060488" w:rsidRPr="00A87953">
        <w:rPr>
          <w:rFonts w:ascii="Times New Roman" w:hAnsi="Times New Roman"/>
          <w:sz w:val="28"/>
          <w:szCs w:val="28"/>
        </w:rPr>
        <w:t xml:space="preserve"> from questions </w:t>
      </w:r>
      <w:r w:rsidR="009750CE" w:rsidRPr="00A87953">
        <w:rPr>
          <w:rFonts w:ascii="Times New Roman" w:hAnsi="Times New Roman"/>
          <w:sz w:val="28"/>
          <w:szCs w:val="28"/>
        </w:rPr>
        <w:t>concerning</w:t>
      </w:r>
      <w:r w:rsidR="00060488" w:rsidRPr="00A87953">
        <w:rPr>
          <w:rFonts w:ascii="Times New Roman" w:hAnsi="Times New Roman"/>
          <w:sz w:val="28"/>
          <w:szCs w:val="28"/>
        </w:rPr>
        <w:t xml:space="preserve"> the will of the late George Adams.</w:t>
      </w:r>
      <w:r w:rsidR="00B73F33">
        <w:rPr>
          <w:rFonts w:ascii="Times New Roman" w:hAnsi="Times New Roman"/>
          <w:sz w:val="28"/>
          <w:szCs w:val="28"/>
        </w:rPr>
        <w:t xml:space="preserve"> </w:t>
      </w:r>
      <w:r w:rsidR="00060488" w:rsidRPr="00A87953">
        <w:rPr>
          <w:rFonts w:ascii="Times New Roman" w:hAnsi="Times New Roman"/>
          <w:sz w:val="28"/>
          <w:szCs w:val="28"/>
        </w:rPr>
        <w:t xml:space="preserve">George Adams was the founder of </w:t>
      </w:r>
      <w:r w:rsidR="00F22662" w:rsidRPr="00A87953">
        <w:rPr>
          <w:rFonts w:ascii="Times New Roman" w:hAnsi="Times New Roman"/>
          <w:sz w:val="28"/>
          <w:szCs w:val="28"/>
        </w:rPr>
        <w:t>Tattersalls.</w:t>
      </w:r>
      <w:r w:rsidR="00B73F33">
        <w:rPr>
          <w:rFonts w:ascii="Times New Roman" w:hAnsi="Times New Roman"/>
          <w:sz w:val="28"/>
          <w:szCs w:val="28"/>
        </w:rPr>
        <w:t xml:space="preserve"> </w:t>
      </w:r>
      <w:r w:rsidR="00F22662" w:rsidRPr="00A87953">
        <w:rPr>
          <w:rFonts w:ascii="Times New Roman" w:hAnsi="Times New Roman"/>
          <w:sz w:val="28"/>
          <w:szCs w:val="28"/>
        </w:rPr>
        <w:t>He made a fortune</w:t>
      </w:r>
      <w:r w:rsidR="00060488" w:rsidRPr="00A87953">
        <w:rPr>
          <w:rFonts w:ascii="Times New Roman" w:hAnsi="Times New Roman"/>
          <w:sz w:val="28"/>
          <w:szCs w:val="28"/>
        </w:rPr>
        <w:t xml:space="preserve"> originally from running sweeps on horse races</w:t>
      </w:r>
      <w:r w:rsidR="00F22662" w:rsidRPr="00A87953">
        <w:rPr>
          <w:rFonts w:ascii="Times New Roman" w:hAnsi="Times New Roman"/>
          <w:sz w:val="28"/>
          <w:szCs w:val="28"/>
        </w:rPr>
        <w:t>.</w:t>
      </w:r>
      <w:r w:rsidR="00B73F33">
        <w:rPr>
          <w:rFonts w:ascii="Times New Roman" w:hAnsi="Times New Roman"/>
          <w:sz w:val="28"/>
          <w:szCs w:val="28"/>
        </w:rPr>
        <w:t xml:space="preserve"> </w:t>
      </w:r>
      <w:r w:rsidR="007B3FC4" w:rsidRPr="00A87953">
        <w:rPr>
          <w:rFonts w:ascii="Times New Roman" w:hAnsi="Times New Roman"/>
          <w:sz w:val="28"/>
          <w:szCs w:val="28"/>
        </w:rPr>
        <w:t>He died in 1904.</w:t>
      </w:r>
      <w:r w:rsidR="00B73F33">
        <w:rPr>
          <w:rFonts w:ascii="Times New Roman" w:hAnsi="Times New Roman"/>
          <w:sz w:val="28"/>
          <w:szCs w:val="28"/>
        </w:rPr>
        <w:t xml:space="preserve"> </w:t>
      </w:r>
      <w:r w:rsidR="007B3FC4" w:rsidRPr="00A87953">
        <w:rPr>
          <w:rFonts w:ascii="Times New Roman" w:hAnsi="Times New Roman"/>
          <w:sz w:val="28"/>
          <w:szCs w:val="28"/>
        </w:rPr>
        <w:t>In his will he provided that the sweep business was to be held by his trustees and the profits divided into shares and then paid to certain beneficiaries</w:t>
      </w:r>
      <w:r w:rsidR="009A14F1" w:rsidRPr="00A87953">
        <w:rPr>
          <w:rFonts w:ascii="Times New Roman" w:hAnsi="Times New Roman"/>
          <w:sz w:val="28"/>
          <w:szCs w:val="28"/>
        </w:rPr>
        <w:t xml:space="preserve"> or their surviving spouse</w:t>
      </w:r>
      <w:r w:rsidR="007B3FC4" w:rsidRPr="00A87953">
        <w:rPr>
          <w:rFonts w:ascii="Times New Roman" w:hAnsi="Times New Roman"/>
          <w:sz w:val="28"/>
          <w:szCs w:val="28"/>
        </w:rPr>
        <w:t>.</w:t>
      </w:r>
      <w:r w:rsidR="00B73F33">
        <w:rPr>
          <w:rFonts w:ascii="Times New Roman" w:hAnsi="Times New Roman"/>
          <w:sz w:val="28"/>
          <w:szCs w:val="28"/>
        </w:rPr>
        <w:t xml:space="preserve"> </w:t>
      </w:r>
      <w:r w:rsidR="007B3FC4" w:rsidRPr="00A87953">
        <w:rPr>
          <w:rFonts w:ascii="Times New Roman" w:hAnsi="Times New Roman"/>
          <w:sz w:val="28"/>
          <w:szCs w:val="28"/>
        </w:rPr>
        <w:t xml:space="preserve">In 1907 a judge in NSW made a ruling about the meaning </w:t>
      </w:r>
      <w:r w:rsidR="009A14F1" w:rsidRPr="00A87953">
        <w:rPr>
          <w:rFonts w:ascii="Times New Roman" w:hAnsi="Times New Roman"/>
          <w:sz w:val="28"/>
          <w:szCs w:val="28"/>
        </w:rPr>
        <w:t>and effect of these</w:t>
      </w:r>
      <w:r w:rsidR="007B3FC4" w:rsidRPr="00A87953">
        <w:rPr>
          <w:rFonts w:ascii="Times New Roman" w:hAnsi="Times New Roman"/>
          <w:sz w:val="28"/>
          <w:szCs w:val="28"/>
        </w:rPr>
        <w:t xml:space="preserve"> provisions.</w:t>
      </w:r>
      <w:r w:rsidR="00B73F33">
        <w:rPr>
          <w:rFonts w:ascii="Times New Roman" w:hAnsi="Times New Roman"/>
          <w:sz w:val="28"/>
          <w:szCs w:val="28"/>
        </w:rPr>
        <w:t xml:space="preserve"> </w:t>
      </w:r>
      <w:r w:rsidR="007B3FC4" w:rsidRPr="00A87953">
        <w:rPr>
          <w:rFonts w:ascii="Times New Roman" w:hAnsi="Times New Roman"/>
          <w:sz w:val="28"/>
          <w:szCs w:val="28"/>
        </w:rPr>
        <w:t xml:space="preserve">Then, in </w:t>
      </w:r>
      <w:r w:rsidR="005C0CAC" w:rsidRPr="00A87953">
        <w:rPr>
          <w:rFonts w:ascii="Times New Roman" w:hAnsi="Times New Roman"/>
          <w:sz w:val="28"/>
          <w:szCs w:val="28"/>
        </w:rPr>
        <w:t>1939</w:t>
      </w:r>
      <w:r w:rsidR="007E583F" w:rsidRPr="00A87953">
        <w:rPr>
          <w:rFonts w:ascii="Times New Roman" w:hAnsi="Times New Roman"/>
          <w:sz w:val="28"/>
          <w:szCs w:val="28"/>
        </w:rPr>
        <w:t>,</w:t>
      </w:r>
      <w:r w:rsidR="005C0CAC" w:rsidRPr="00A87953">
        <w:rPr>
          <w:rFonts w:ascii="Times New Roman" w:hAnsi="Times New Roman"/>
          <w:sz w:val="28"/>
          <w:szCs w:val="28"/>
        </w:rPr>
        <w:t xml:space="preserve"> a widow of a beneficiary died and issues about the will arose in proceedings in Tasmania.</w:t>
      </w:r>
      <w:r w:rsidR="00B73F33">
        <w:rPr>
          <w:rFonts w:ascii="Times New Roman" w:hAnsi="Times New Roman"/>
          <w:sz w:val="28"/>
          <w:szCs w:val="28"/>
        </w:rPr>
        <w:t xml:space="preserve"> </w:t>
      </w:r>
      <w:r w:rsidR="005C0CAC" w:rsidRPr="00A87953">
        <w:rPr>
          <w:rFonts w:ascii="Times New Roman" w:hAnsi="Times New Roman"/>
          <w:sz w:val="28"/>
          <w:szCs w:val="28"/>
        </w:rPr>
        <w:t xml:space="preserve">The proceedings </w:t>
      </w:r>
      <w:r w:rsidR="00604532" w:rsidRPr="00A87953">
        <w:rPr>
          <w:rFonts w:ascii="Times New Roman" w:hAnsi="Times New Roman"/>
          <w:sz w:val="28"/>
          <w:szCs w:val="28"/>
        </w:rPr>
        <w:t>involv</w:t>
      </w:r>
      <w:r w:rsidR="005C0CAC" w:rsidRPr="00A87953">
        <w:rPr>
          <w:rFonts w:ascii="Times New Roman" w:hAnsi="Times New Roman"/>
          <w:sz w:val="28"/>
          <w:szCs w:val="28"/>
        </w:rPr>
        <w:t>ed</w:t>
      </w:r>
      <w:r w:rsidR="00604532" w:rsidRPr="00A87953">
        <w:rPr>
          <w:rFonts w:ascii="Times New Roman" w:hAnsi="Times New Roman"/>
          <w:sz w:val="28"/>
          <w:szCs w:val="28"/>
        </w:rPr>
        <w:t xml:space="preserve"> different causes of action but</w:t>
      </w:r>
      <w:r w:rsidR="007E583F" w:rsidRPr="00A87953">
        <w:rPr>
          <w:rFonts w:ascii="Times New Roman" w:hAnsi="Times New Roman"/>
          <w:sz w:val="28"/>
          <w:szCs w:val="28"/>
        </w:rPr>
        <w:t xml:space="preserve">, when the case got to the High Court, </w:t>
      </w:r>
      <w:r w:rsidR="005C0CAC" w:rsidRPr="00A87953">
        <w:rPr>
          <w:rFonts w:ascii="Times New Roman" w:hAnsi="Times New Roman"/>
          <w:sz w:val="28"/>
          <w:szCs w:val="28"/>
        </w:rPr>
        <w:t xml:space="preserve">Dixon J found that an issue estoppel arose because the two </w:t>
      </w:r>
      <w:r w:rsidR="007E583F" w:rsidRPr="00A87953">
        <w:rPr>
          <w:rFonts w:ascii="Times New Roman" w:hAnsi="Times New Roman"/>
          <w:sz w:val="28"/>
          <w:szCs w:val="28"/>
        </w:rPr>
        <w:t>proceedings</w:t>
      </w:r>
      <w:r w:rsidR="005C0CAC" w:rsidRPr="00A87953">
        <w:rPr>
          <w:rFonts w:ascii="Times New Roman" w:hAnsi="Times New Roman"/>
          <w:sz w:val="28"/>
          <w:szCs w:val="28"/>
        </w:rPr>
        <w:t xml:space="preserve"> involved the same issue</w:t>
      </w:r>
      <w:r w:rsidR="00060488" w:rsidRPr="00A87953">
        <w:rPr>
          <w:rFonts w:ascii="Times New Roman" w:hAnsi="Times New Roman"/>
          <w:sz w:val="28"/>
          <w:szCs w:val="28"/>
        </w:rPr>
        <w:t>.</w:t>
      </w:r>
      <w:r w:rsidR="00B73F33">
        <w:rPr>
          <w:rFonts w:ascii="Times New Roman" w:hAnsi="Times New Roman"/>
          <w:sz w:val="28"/>
          <w:szCs w:val="28"/>
        </w:rPr>
        <w:t xml:space="preserve"> </w:t>
      </w:r>
      <w:r w:rsidR="000056D7" w:rsidRPr="00A87953">
        <w:rPr>
          <w:rFonts w:ascii="Times New Roman" w:hAnsi="Times New Roman"/>
          <w:sz w:val="28"/>
          <w:szCs w:val="28"/>
        </w:rPr>
        <w:t>Dixon</w:t>
      </w:r>
      <w:r w:rsidR="00060488" w:rsidRPr="00A87953">
        <w:rPr>
          <w:rFonts w:ascii="Times New Roman" w:hAnsi="Times New Roman"/>
          <w:sz w:val="28"/>
          <w:szCs w:val="28"/>
        </w:rPr>
        <w:t xml:space="preserve"> J said at 531:</w:t>
      </w:r>
    </w:p>
    <w:p w:rsidR="00B01515" w:rsidRPr="00A87953" w:rsidRDefault="003B1AA8" w:rsidP="00817310">
      <w:pPr>
        <w:ind w:left="720"/>
        <w:jc w:val="both"/>
        <w:rPr>
          <w:rFonts w:ascii="Times New Roman" w:hAnsi="Times New Roman"/>
          <w:sz w:val="28"/>
          <w:szCs w:val="28"/>
        </w:rPr>
      </w:pPr>
      <w:r w:rsidRPr="00A87953">
        <w:rPr>
          <w:rFonts w:ascii="Times New Roman" w:hAnsi="Times New Roman"/>
          <w:sz w:val="28"/>
          <w:szCs w:val="28"/>
        </w:rPr>
        <w:t>"The estoppel covers only those matters which the prior judgment, decree or order necessarily established as the legal foundation or justification of its conclusion</w:t>
      </w:r>
      <w:r w:rsidR="00817310">
        <w:rPr>
          <w:rFonts w:ascii="Times New Roman" w:hAnsi="Times New Roman"/>
          <w:sz w:val="28"/>
          <w:szCs w:val="28"/>
        </w:rPr>
        <w:t xml:space="preserve"> </w:t>
      </w:r>
      <w:r w:rsidRPr="00A87953">
        <w:rPr>
          <w:rFonts w:ascii="Times New Roman" w:hAnsi="Times New Roman"/>
          <w:sz w:val="28"/>
          <w:szCs w:val="28"/>
        </w:rPr>
        <w:t>...</w:t>
      </w:r>
    </w:p>
    <w:p w:rsidR="0032707C" w:rsidRPr="00A87953" w:rsidRDefault="0032707C" w:rsidP="00817310">
      <w:pPr>
        <w:ind w:left="720"/>
        <w:jc w:val="both"/>
        <w:rPr>
          <w:rFonts w:ascii="Times New Roman" w:hAnsi="Times New Roman"/>
          <w:sz w:val="28"/>
          <w:szCs w:val="28"/>
        </w:rPr>
      </w:pPr>
      <w:r w:rsidRPr="00A87953">
        <w:rPr>
          <w:rFonts w:ascii="Times New Roman" w:hAnsi="Times New Roman"/>
          <w:sz w:val="28"/>
          <w:szCs w:val="28"/>
        </w:rPr>
        <w:t>Nothing but what is legally indispensable to the conclusion is thus finally closed or precluded. In matters of fact the issue estoppel is confined to those ultimate facts which form the ingredients in the cause of action, that is, the title to the right established</w:t>
      </w:r>
      <w:r w:rsidR="00B34DCA" w:rsidRPr="00A87953">
        <w:rPr>
          <w:rFonts w:ascii="Times New Roman" w:hAnsi="Times New Roman"/>
          <w:sz w:val="28"/>
          <w:szCs w:val="28"/>
        </w:rPr>
        <w:t>.</w:t>
      </w:r>
      <w:r w:rsidR="00817310">
        <w:rPr>
          <w:rFonts w:ascii="Times New Roman" w:hAnsi="Times New Roman"/>
          <w:sz w:val="28"/>
          <w:szCs w:val="28"/>
        </w:rPr>
        <w:t xml:space="preserve"> …</w:t>
      </w:r>
      <w:r w:rsidRPr="00A87953">
        <w:rPr>
          <w:rFonts w:ascii="Times New Roman" w:hAnsi="Times New Roman"/>
          <w:sz w:val="28"/>
          <w:szCs w:val="28"/>
        </w:rPr>
        <w:t xml:space="preserve"> In the phraseology of </w:t>
      </w:r>
      <w:r w:rsidRPr="00A87953">
        <w:rPr>
          <w:rFonts w:ascii="Times New Roman" w:hAnsi="Times New Roman"/>
          <w:i/>
          <w:iCs/>
          <w:sz w:val="28"/>
          <w:szCs w:val="28"/>
        </w:rPr>
        <w:t>Coleridge</w:t>
      </w:r>
      <w:r w:rsidRPr="00A87953">
        <w:rPr>
          <w:rFonts w:ascii="Times New Roman" w:hAnsi="Times New Roman"/>
          <w:sz w:val="28"/>
          <w:szCs w:val="28"/>
        </w:rPr>
        <w:t xml:space="preserve"> J. in </w:t>
      </w:r>
      <w:r w:rsidRPr="00A87953">
        <w:rPr>
          <w:rFonts w:ascii="Times New Roman" w:hAnsi="Times New Roman"/>
          <w:i/>
          <w:iCs/>
          <w:sz w:val="28"/>
          <w:szCs w:val="28"/>
        </w:rPr>
        <w:t>R v Inhabitants of the Township of Hartington Middle Quarter</w:t>
      </w:r>
      <w:r w:rsidR="00DC50BC" w:rsidRPr="00A87953">
        <w:rPr>
          <w:rStyle w:val="FootnoteReference"/>
          <w:rFonts w:ascii="Times New Roman" w:hAnsi="Times New Roman"/>
          <w:i/>
          <w:iCs/>
          <w:sz w:val="28"/>
          <w:szCs w:val="28"/>
        </w:rPr>
        <w:footnoteReference w:id="12"/>
      </w:r>
      <w:r w:rsidRPr="00A87953">
        <w:rPr>
          <w:rFonts w:ascii="Times New Roman" w:hAnsi="Times New Roman"/>
          <w:sz w:val="28"/>
          <w:szCs w:val="28"/>
        </w:rPr>
        <w:t>, the judicial determination concludes, not merely as to the point actually decided, but as to a matter which it was necessary to decide and which was actually decided as the groundwork of the decision itself, though not t</w:t>
      </w:r>
      <w:r w:rsidR="007B3FC4" w:rsidRPr="00A87953">
        <w:rPr>
          <w:rFonts w:ascii="Times New Roman" w:hAnsi="Times New Roman"/>
          <w:sz w:val="28"/>
          <w:szCs w:val="28"/>
        </w:rPr>
        <w:t>hen directly the point at issue.</w:t>
      </w:r>
      <w:r w:rsidR="00060488" w:rsidRPr="00A87953">
        <w:rPr>
          <w:rFonts w:ascii="Times New Roman" w:hAnsi="Times New Roman"/>
          <w:sz w:val="28"/>
          <w:szCs w:val="28"/>
        </w:rPr>
        <w:t>"</w:t>
      </w:r>
    </w:p>
    <w:p w:rsidR="007B3FC4" w:rsidRPr="00A87953" w:rsidRDefault="007B3FC4" w:rsidP="00817310">
      <w:pPr>
        <w:jc w:val="both"/>
        <w:rPr>
          <w:rFonts w:ascii="Times New Roman" w:hAnsi="Times New Roman"/>
          <w:sz w:val="28"/>
          <w:szCs w:val="28"/>
        </w:rPr>
      </w:pPr>
      <w:r w:rsidRPr="00A87953">
        <w:rPr>
          <w:rFonts w:ascii="Times New Roman" w:hAnsi="Times New Roman"/>
          <w:sz w:val="28"/>
          <w:szCs w:val="28"/>
        </w:rPr>
        <w:tab/>
        <w:t>His Honour, referr</w:t>
      </w:r>
      <w:r w:rsidR="004E4305" w:rsidRPr="00A87953">
        <w:rPr>
          <w:rFonts w:ascii="Times New Roman" w:hAnsi="Times New Roman"/>
          <w:sz w:val="28"/>
          <w:szCs w:val="28"/>
        </w:rPr>
        <w:t>ing</w:t>
      </w:r>
      <w:r w:rsidRPr="00A87953">
        <w:rPr>
          <w:rFonts w:ascii="Times New Roman" w:hAnsi="Times New Roman"/>
          <w:sz w:val="28"/>
          <w:szCs w:val="28"/>
        </w:rPr>
        <w:t xml:space="preserve"> to another authority</w:t>
      </w:r>
      <w:r w:rsidR="004E4305" w:rsidRPr="00A87953">
        <w:rPr>
          <w:rFonts w:ascii="Times New Roman" w:hAnsi="Times New Roman"/>
          <w:sz w:val="28"/>
          <w:szCs w:val="28"/>
        </w:rPr>
        <w:t>,</w:t>
      </w:r>
      <w:r w:rsidRPr="00A87953">
        <w:rPr>
          <w:rFonts w:ascii="Times New Roman" w:hAnsi="Times New Roman"/>
          <w:sz w:val="28"/>
          <w:szCs w:val="28"/>
        </w:rPr>
        <w:t xml:space="preserve"> then said</w:t>
      </w:r>
      <w:r w:rsidR="000056D7" w:rsidRPr="00A87953">
        <w:rPr>
          <w:rStyle w:val="FootnoteReference"/>
          <w:rFonts w:ascii="Times New Roman" w:hAnsi="Times New Roman"/>
          <w:sz w:val="28"/>
          <w:szCs w:val="28"/>
        </w:rPr>
        <w:footnoteReference w:id="13"/>
      </w:r>
      <w:r w:rsidRPr="00A87953">
        <w:rPr>
          <w:rFonts w:ascii="Times New Roman" w:hAnsi="Times New Roman"/>
          <w:sz w:val="28"/>
          <w:szCs w:val="28"/>
        </w:rPr>
        <w:t>:</w:t>
      </w:r>
    </w:p>
    <w:p w:rsidR="007B3FC4" w:rsidRPr="00A87953" w:rsidRDefault="007B3FC4" w:rsidP="00817310">
      <w:pPr>
        <w:ind w:left="720"/>
        <w:jc w:val="both"/>
        <w:rPr>
          <w:rFonts w:ascii="Times New Roman" w:hAnsi="Times New Roman"/>
          <w:sz w:val="28"/>
          <w:szCs w:val="28"/>
        </w:rPr>
      </w:pPr>
      <w:r w:rsidRPr="00A87953">
        <w:rPr>
          <w:rFonts w:ascii="Times New Roman" w:hAnsi="Times New Roman"/>
          <w:sz w:val="28"/>
          <w:szCs w:val="28"/>
        </w:rPr>
        <w:t>"</w:t>
      </w:r>
      <w:r w:rsidR="000056D7" w:rsidRPr="00A87953">
        <w:rPr>
          <w:rFonts w:ascii="Times New Roman" w:hAnsi="Times New Roman"/>
          <w:sz w:val="28"/>
          <w:szCs w:val="28"/>
        </w:rPr>
        <w:t>I</w:t>
      </w:r>
      <w:r w:rsidRPr="00A87953">
        <w:rPr>
          <w:rFonts w:ascii="Times New Roman" w:hAnsi="Times New Roman"/>
          <w:sz w:val="28"/>
          <w:szCs w:val="28"/>
        </w:rPr>
        <w:t xml:space="preserve">n the phraseology of Lord Shaw, </w:t>
      </w:r>
      <w:r w:rsidR="00153B88">
        <w:rPr>
          <w:rFonts w:ascii="Times New Roman" w:hAnsi="Times New Roman"/>
          <w:sz w:val="28"/>
          <w:szCs w:val="28"/>
        </w:rPr>
        <w:t>'</w:t>
      </w:r>
      <w:r w:rsidRPr="00A87953">
        <w:rPr>
          <w:rFonts w:ascii="Times New Roman" w:hAnsi="Times New Roman"/>
          <w:sz w:val="28"/>
          <w:szCs w:val="28"/>
        </w:rPr>
        <w:t>a fact fundamental to the decision arrived at</w:t>
      </w:r>
      <w:r w:rsidR="00153B88">
        <w:rPr>
          <w:rFonts w:ascii="Times New Roman" w:hAnsi="Times New Roman"/>
          <w:sz w:val="28"/>
          <w:szCs w:val="28"/>
        </w:rPr>
        <w:t>'</w:t>
      </w:r>
      <w:r w:rsidRPr="00A87953">
        <w:rPr>
          <w:rFonts w:ascii="Times New Roman" w:hAnsi="Times New Roman"/>
          <w:sz w:val="28"/>
          <w:szCs w:val="28"/>
        </w:rPr>
        <w:t xml:space="preserve"> in the former proceedings and </w:t>
      </w:r>
      <w:r w:rsidR="00153B88">
        <w:rPr>
          <w:rFonts w:ascii="Times New Roman" w:hAnsi="Times New Roman"/>
          <w:sz w:val="28"/>
          <w:szCs w:val="28"/>
        </w:rPr>
        <w:t>'</w:t>
      </w:r>
      <w:r w:rsidRPr="00A87953">
        <w:rPr>
          <w:rFonts w:ascii="Times New Roman" w:hAnsi="Times New Roman"/>
          <w:sz w:val="28"/>
          <w:szCs w:val="28"/>
        </w:rPr>
        <w:t>the legal quality of that fact</w:t>
      </w:r>
      <w:r w:rsidR="00153B88">
        <w:rPr>
          <w:rFonts w:ascii="Times New Roman" w:hAnsi="Times New Roman"/>
          <w:sz w:val="28"/>
          <w:szCs w:val="28"/>
        </w:rPr>
        <w:t>'</w:t>
      </w:r>
      <w:r w:rsidRPr="00A87953">
        <w:rPr>
          <w:rFonts w:ascii="Times New Roman" w:hAnsi="Times New Roman"/>
          <w:sz w:val="28"/>
          <w:szCs w:val="28"/>
        </w:rPr>
        <w:t xml:space="preserve"> must </w:t>
      </w:r>
      <w:r w:rsidRPr="00A87953">
        <w:rPr>
          <w:rFonts w:ascii="Times New Roman" w:hAnsi="Times New Roman"/>
          <w:sz w:val="28"/>
          <w:szCs w:val="28"/>
        </w:rPr>
        <w:lastRenderedPageBreak/>
        <w:t>be taken as finally and conclusively established.</w:t>
      </w:r>
      <w:r w:rsidR="00B73F33">
        <w:rPr>
          <w:rFonts w:ascii="Times New Roman" w:hAnsi="Times New Roman"/>
          <w:sz w:val="28"/>
          <w:szCs w:val="28"/>
        </w:rPr>
        <w:t xml:space="preserve"> </w:t>
      </w:r>
      <w:r w:rsidRPr="00A87953">
        <w:rPr>
          <w:rFonts w:ascii="Times New Roman" w:hAnsi="Times New Roman"/>
          <w:sz w:val="28"/>
          <w:szCs w:val="28"/>
        </w:rPr>
        <w:t>But matters of law or fact which are subsidiary or collateral are not covered by the estoppel".</w:t>
      </w:r>
    </w:p>
    <w:p w:rsidR="00516F65" w:rsidRPr="00A87953" w:rsidRDefault="00E4607E" w:rsidP="00817310">
      <w:pPr>
        <w:jc w:val="both"/>
        <w:rPr>
          <w:rFonts w:ascii="Times New Roman" w:hAnsi="Times New Roman"/>
          <w:iCs/>
          <w:sz w:val="28"/>
          <w:szCs w:val="28"/>
        </w:rPr>
      </w:pPr>
      <w:r w:rsidRPr="00A87953">
        <w:rPr>
          <w:rFonts w:ascii="Times New Roman" w:hAnsi="Times New Roman"/>
          <w:sz w:val="28"/>
          <w:szCs w:val="28"/>
        </w:rPr>
        <w:tab/>
      </w:r>
      <w:r w:rsidR="000056D7" w:rsidRPr="00A87953">
        <w:rPr>
          <w:rFonts w:ascii="Times New Roman" w:hAnsi="Times New Roman"/>
          <w:i/>
          <w:sz w:val="28"/>
          <w:szCs w:val="28"/>
        </w:rPr>
        <w:t>Blair v Curran</w:t>
      </w:r>
      <w:r w:rsidR="00516F65" w:rsidRPr="00A87953">
        <w:rPr>
          <w:rFonts w:ascii="Times New Roman" w:hAnsi="Times New Roman"/>
          <w:sz w:val="28"/>
          <w:szCs w:val="28"/>
        </w:rPr>
        <w:t xml:space="preserve"> and other authorities were applied by Holt </w:t>
      </w:r>
      <w:r w:rsidR="00153B88">
        <w:rPr>
          <w:rFonts w:ascii="Times New Roman" w:hAnsi="Times New Roman"/>
          <w:sz w:val="28"/>
          <w:szCs w:val="28"/>
        </w:rPr>
        <w:t xml:space="preserve">AsJ </w:t>
      </w:r>
      <w:r w:rsidR="00516F65" w:rsidRPr="00A87953">
        <w:rPr>
          <w:rFonts w:ascii="Times New Roman" w:hAnsi="Times New Roman"/>
          <w:sz w:val="28"/>
          <w:szCs w:val="28"/>
        </w:rPr>
        <w:t xml:space="preserve">in 2006 in </w:t>
      </w:r>
      <w:r w:rsidR="00516F65" w:rsidRPr="00A87953">
        <w:rPr>
          <w:rFonts w:ascii="Times New Roman" w:hAnsi="Times New Roman"/>
          <w:i/>
          <w:iCs/>
          <w:sz w:val="28"/>
          <w:szCs w:val="28"/>
        </w:rPr>
        <w:t>Cooper v Forestry Tasmania</w:t>
      </w:r>
      <w:r w:rsidR="00516F65" w:rsidRPr="00A87953">
        <w:rPr>
          <w:rStyle w:val="FootnoteReference"/>
          <w:rFonts w:ascii="Times New Roman" w:hAnsi="Times New Roman"/>
          <w:i/>
          <w:iCs/>
          <w:sz w:val="28"/>
          <w:szCs w:val="28"/>
        </w:rPr>
        <w:footnoteReference w:id="14"/>
      </w:r>
      <w:r w:rsidR="00516F65" w:rsidRPr="00A87953">
        <w:rPr>
          <w:rFonts w:ascii="Times New Roman" w:hAnsi="Times New Roman"/>
          <w:i/>
          <w:iCs/>
          <w:sz w:val="28"/>
          <w:szCs w:val="28"/>
        </w:rPr>
        <w:t>.</w:t>
      </w:r>
      <w:r w:rsidR="00B73F33">
        <w:rPr>
          <w:rFonts w:ascii="Times New Roman" w:hAnsi="Times New Roman"/>
          <w:i/>
          <w:iCs/>
          <w:sz w:val="28"/>
          <w:szCs w:val="28"/>
        </w:rPr>
        <w:t xml:space="preserve"> </w:t>
      </w:r>
      <w:r w:rsidR="00516F65" w:rsidRPr="00A87953">
        <w:rPr>
          <w:rFonts w:ascii="Times New Roman" w:hAnsi="Times New Roman"/>
          <w:iCs/>
          <w:sz w:val="28"/>
          <w:szCs w:val="28"/>
        </w:rPr>
        <w:t>His Honour pointed out that issue estoppel arises not only in respect of the final conclusion, but extends to matters which were necessary to decide and which were actually decided as the groundwork for the conclusion</w:t>
      </w:r>
      <w:r w:rsidR="004E653C" w:rsidRPr="00A87953">
        <w:rPr>
          <w:rFonts w:ascii="Times New Roman" w:hAnsi="Times New Roman"/>
          <w:iCs/>
          <w:sz w:val="28"/>
          <w:szCs w:val="28"/>
        </w:rPr>
        <w:t>, but not to only evidentiary facts</w:t>
      </w:r>
      <w:r w:rsidR="00516F65" w:rsidRPr="00A87953">
        <w:rPr>
          <w:rFonts w:ascii="Times New Roman" w:hAnsi="Times New Roman"/>
          <w:iCs/>
          <w:sz w:val="28"/>
          <w:szCs w:val="28"/>
        </w:rPr>
        <w:t>.</w:t>
      </w:r>
      <w:r w:rsidR="00B73F33">
        <w:rPr>
          <w:rFonts w:ascii="Times New Roman" w:hAnsi="Times New Roman"/>
          <w:iCs/>
          <w:sz w:val="28"/>
          <w:szCs w:val="28"/>
        </w:rPr>
        <w:t xml:space="preserve"> </w:t>
      </w:r>
      <w:r w:rsidR="00502744" w:rsidRPr="00A87953">
        <w:rPr>
          <w:rFonts w:ascii="Times New Roman" w:hAnsi="Times New Roman"/>
          <w:iCs/>
          <w:sz w:val="28"/>
          <w:szCs w:val="28"/>
        </w:rPr>
        <w:t xml:space="preserve">He </w:t>
      </w:r>
      <w:r w:rsidR="00516F65" w:rsidRPr="00A87953">
        <w:rPr>
          <w:rFonts w:ascii="Times New Roman" w:hAnsi="Times New Roman"/>
          <w:iCs/>
          <w:sz w:val="28"/>
          <w:szCs w:val="28"/>
        </w:rPr>
        <w:t xml:space="preserve">also referred to a passage of the judgment of Barwick CJ </w:t>
      </w:r>
      <w:r w:rsidR="000056D7" w:rsidRPr="00A87953">
        <w:rPr>
          <w:rFonts w:ascii="Times New Roman" w:hAnsi="Times New Roman"/>
          <w:iCs/>
          <w:sz w:val="28"/>
          <w:szCs w:val="28"/>
        </w:rPr>
        <w:t xml:space="preserve">in </w:t>
      </w:r>
      <w:r w:rsidR="00516F65" w:rsidRPr="00A87953">
        <w:rPr>
          <w:rFonts w:ascii="Times New Roman" w:hAnsi="Times New Roman"/>
          <w:iCs/>
          <w:sz w:val="28"/>
          <w:szCs w:val="28"/>
        </w:rPr>
        <w:t xml:space="preserve">1968 in </w:t>
      </w:r>
      <w:r w:rsidR="00516F65" w:rsidRPr="00A87953">
        <w:rPr>
          <w:rFonts w:ascii="Times New Roman" w:hAnsi="Times New Roman"/>
          <w:i/>
          <w:iCs/>
          <w:sz w:val="28"/>
          <w:szCs w:val="28"/>
        </w:rPr>
        <w:t>Ramsay v Pigram</w:t>
      </w:r>
      <w:r w:rsidR="00516F65" w:rsidRPr="00A87953">
        <w:rPr>
          <w:rStyle w:val="FootnoteReference"/>
          <w:rFonts w:ascii="Times New Roman" w:hAnsi="Times New Roman"/>
          <w:i/>
          <w:iCs/>
          <w:sz w:val="28"/>
          <w:szCs w:val="28"/>
        </w:rPr>
        <w:footnoteReference w:id="15"/>
      </w:r>
      <w:r w:rsidR="00516F65" w:rsidRPr="00A87953">
        <w:rPr>
          <w:rFonts w:ascii="Times New Roman" w:hAnsi="Times New Roman"/>
          <w:iCs/>
          <w:sz w:val="28"/>
          <w:szCs w:val="28"/>
        </w:rPr>
        <w:t>, requiring "that precise matter has already been necessarily and directly decided by a competent tribunal in resolving rights or obligations between the same parties</w:t>
      </w:r>
      <w:r w:rsidR="004B2DF2">
        <w:rPr>
          <w:rFonts w:ascii="Times New Roman" w:hAnsi="Times New Roman"/>
          <w:iCs/>
          <w:sz w:val="28"/>
          <w:szCs w:val="28"/>
        </w:rPr>
        <w:t>.</w:t>
      </w:r>
      <w:r w:rsidR="00B73F33">
        <w:rPr>
          <w:rFonts w:ascii="Times New Roman" w:hAnsi="Times New Roman"/>
          <w:iCs/>
          <w:sz w:val="28"/>
          <w:szCs w:val="28"/>
        </w:rPr>
        <w:t xml:space="preserve"> </w:t>
      </w:r>
      <w:r w:rsidR="004B2DF2">
        <w:rPr>
          <w:rFonts w:ascii="Times New Roman" w:hAnsi="Times New Roman"/>
          <w:iCs/>
          <w:sz w:val="28"/>
          <w:szCs w:val="28"/>
        </w:rPr>
        <w:t>Th</w:t>
      </w:r>
      <w:r w:rsidR="00516F65" w:rsidRPr="00A87953">
        <w:rPr>
          <w:rFonts w:ascii="Times New Roman" w:hAnsi="Times New Roman"/>
          <w:iCs/>
          <w:sz w:val="28"/>
          <w:szCs w:val="28"/>
        </w:rPr>
        <w:t>e issue thus determined, as distinct from the cause of action in relation to which it arose, must have</w:t>
      </w:r>
      <w:r w:rsidR="00502744" w:rsidRPr="00A87953">
        <w:rPr>
          <w:rFonts w:ascii="Times New Roman" w:hAnsi="Times New Roman"/>
          <w:iCs/>
          <w:sz w:val="28"/>
          <w:szCs w:val="28"/>
        </w:rPr>
        <w:t xml:space="preserve"> been identical in each case.</w:t>
      </w:r>
      <w:r w:rsidR="00D13B0F">
        <w:rPr>
          <w:rFonts w:ascii="Times New Roman" w:hAnsi="Times New Roman"/>
          <w:iCs/>
          <w:sz w:val="28"/>
          <w:szCs w:val="28"/>
        </w:rPr>
        <w:t>"</w:t>
      </w:r>
    </w:p>
    <w:p w:rsidR="004118B1" w:rsidRPr="00A87953" w:rsidRDefault="00E4607E" w:rsidP="00817310">
      <w:pPr>
        <w:jc w:val="both"/>
        <w:rPr>
          <w:rFonts w:ascii="Times New Roman" w:hAnsi="Times New Roman"/>
          <w:iCs/>
          <w:sz w:val="28"/>
          <w:szCs w:val="28"/>
          <w:lang w:val="en"/>
        </w:rPr>
      </w:pPr>
      <w:r w:rsidRPr="00A87953">
        <w:rPr>
          <w:rFonts w:ascii="Times New Roman" w:hAnsi="Times New Roman"/>
          <w:iCs/>
          <w:sz w:val="28"/>
          <w:szCs w:val="28"/>
          <w:lang w:val="en"/>
        </w:rPr>
        <w:tab/>
      </w:r>
      <w:r w:rsidR="004118B1" w:rsidRPr="00A87953">
        <w:rPr>
          <w:rFonts w:ascii="Times New Roman" w:hAnsi="Times New Roman"/>
          <w:iCs/>
          <w:sz w:val="28"/>
          <w:szCs w:val="28"/>
          <w:lang w:val="en"/>
        </w:rPr>
        <w:t>Each case will therefor</w:t>
      </w:r>
      <w:r w:rsidR="00D13B0F">
        <w:rPr>
          <w:rFonts w:ascii="Times New Roman" w:hAnsi="Times New Roman"/>
          <w:iCs/>
          <w:sz w:val="28"/>
          <w:szCs w:val="28"/>
          <w:lang w:val="en"/>
        </w:rPr>
        <w:t>e</w:t>
      </w:r>
      <w:r w:rsidR="004118B1" w:rsidRPr="00A87953">
        <w:rPr>
          <w:rFonts w:ascii="Times New Roman" w:hAnsi="Times New Roman"/>
          <w:iCs/>
          <w:sz w:val="28"/>
          <w:szCs w:val="28"/>
          <w:lang w:val="en"/>
        </w:rPr>
        <w:t xml:space="preserve"> require a careful consideration of what issue the first tribunal was determining and what findings were a legally indispensable part of that determination.</w:t>
      </w:r>
      <w:r w:rsidR="00B73F33">
        <w:rPr>
          <w:rFonts w:ascii="Times New Roman" w:hAnsi="Times New Roman"/>
          <w:iCs/>
          <w:sz w:val="28"/>
          <w:szCs w:val="28"/>
          <w:lang w:val="en"/>
        </w:rPr>
        <w:t xml:space="preserve"> </w:t>
      </w:r>
      <w:r w:rsidR="00BC0874" w:rsidRPr="00A87953">
        <w:rPr>
          <w:rFonts w:ascii="Times New Roman" w:hAnsi="Times New Roman"/>
          <w:iCs/>
          <w:sz w:val="28"/>
          <w:szCs w:val="28"/>
          <w:lang w:val="en"/>
        </w:rPr>
        <w:t>An estoppel may arise even if the judgment is by consent, depending on if it can be established what has been necessarily determined by it</w:t>
      </w:r>
      <w:r w:rsidR="00BC0874" w:rsidRPr="00A87953">
        <w:rPr>
          <w:rStyle w:val="FootnoteReference"/>
          <w:rFonts w:ascii="Times New Roman" w:hAnsi="Times New Roman"/>
          <w:iCs/>
          <w:sz w:val="28"/>
          <w:szCs w:val="28"/>
          <w:lang w:val="en"/>
        </w:rPr>
        <w:footnoteReference w:id="16"/>
      </w:r>
      <w:r w:rsidR="0098342F">
        <w:rPr>
          <w:rFonts w:ascii="Times New Roman" w:hAnsi="Times New Roman"/>
          <w:iCs/>
          <w:sz w:val="28"/>
          <w:szCs w:val="28"/>
          <w:lang w:val="en"/>
        </w:rPr>
        <w:t>.</w:t>
      </w:r>
    </w:p>
    <w:p w:rsidR="00B810A9" w:rsidRPr="00A87953" w:rsidRDefault="00E4607E" w:rsidP="00817310">
      <w:pPr>
        <w:jc w:val="both"/>
        <w:rPr>
          <w:rFonts w:ascii="Times New Roman" w:hAnsi="Times New Roman"/>
          <w:iCs/>
          <w:sz w:val="28"/>
          <w:szCs w:val="28"/>
          <w:lang w:val="en"/>
        </w:rPr>
      </w:pPr>
      <w:r w:rsidRPr="00A87953">
        <w:rPr>
          <w:rFonts w:ascii="Times New Roman" w:hAnsi="Times New Roman"/>
          <w:iCs/>
          <w:sz w:val="28"/>
          <w:szCs w:val="28"/>
        </w:rPr>
        <w:tab/>
      </w:r>
      <w:r w:rsidR="00902E4F" w:rsidRPr="00A87953">
        <w:rPr>
          <w:rFonts w:ascii="Times New Roman" w:hAnsi="Times New Roman"/>
          <w:iCs/>
          <w:sz w:val="28"/>
          <w:szCs w:val="28"/>
        </w:rPr>
        <w:t>An example of where the question is not the same is a criminal proceeding and a civil proceeding where the standard of proof is so obviously different.</w:t>
      </w:r>
      <w:r w:rsidR="00B73F33">
        <w:rPr>
          <w:rFonts w:ascii="Times New Roman" w:hAnsi="Times New Roman"/>
          <w:iCs/>
          <w:sz w:val="28"/>
          <w:szCs w:val="28"/>
        </w:rPr>
        <w:t xml:space="preserve"> </w:t>
      </w:r>
      <w:r w:rsidR="00902E4F" w:rsidRPr="00A87953">
        <w:rPr>
          <w:rFonts w:ascii="Times New Roman" w:hAnsi="Times New Roman"/>
          <w:iCs/>
          <w:sz w:val="28"/>
          <w:szCs w:val="28"/>
        </w:rPr>
        <w:t xml:space="preserve">Another </w:t>
      </w:r>
      <w:r w:rsidR="00502744" w:rsidRPr="00A87953">
        <w:rPr>
          <w:rFonts w:ascii="Times New Roman" w:hAnsi="Times New Roman"/>
          <w:iCs/>
          <w:sz w:val="28"/>
          <w:szCs w:val="28"/>
        </w:rPr>
        <w:t>common example leading to the conclusion that an issue is not the same is where a finding contains a temporal element.</w:t>
      </w:r>
      <w:r w:rsidR="00B73F33">
        <w:rPr>
          <w:rFonts w:ascii="Times New Roman" w:hAnsi="Times New Roman"/>
          <w:iCs/>
          <w:sz w:val="28"/>
          <w:szCs w:val="28"/>
        </w:rPr>
        <w:t xml:space="preserve"> </w:t>
      </w:r>
      <w:r w:rsidR="003F26FF" w:rsidRPr="00A87953">
        <w:rPr>
          <w:rFonts w:ascii="Times New Roman" w:hAnsi="Times New Roman"/>
          <w:iCs/>
          <w:sz w:val="28"/>
          <w:szCs w:val="28"/>
        </w:rPr>
        <w:t xml:space="preserve">In those circumstances an issue estoppel will arise </w:t>
      </w:r>
      <w:r w:rsidR="003F26FF" w:rsidRPr="00A87953">
        <w:rPr>
          <w:rFonts w:ascii="Times New Roman" w:hAnsi="Times New Roman"/>
          <w:iCs/>
          <w:sz w:val="28"/>
          <w:szCs w:val="28"/>
          <w:lang w:val="en"/>
        </w:rPr>
        <w:t>if and only if the circumstances at the time of the second proceedings are precisely the same as they were at the</w:t>
      </w:r>
      <w:r w:rsidR="00B810A9" w:rsidRPr="00A87953">
        <w:rPr>
          <w:rFonts w:ascii="Times New Roman" w:hAnsi="Times New Roman"/>
          <w:iCs/>
          <w:sz w:val="28"/>
          <w:szCs w:val="28"/>
          <w:lang w:val="en"/>
        </w:rPr>
        <w:t xml:space="preserve"> time of the original decision.</w:t>
      </w:r>
    </w:p>
    <w:p w:rsidR="00B810A9" w:rsidRPr="00A87953" w:rsidRDefault="00502744" w:rsidP="00817310">
      <w:pPr>
        <w:numPr>
          <w:ilvl w:val="0"/>
          <w:numId w:val="7"/>
        </w:numPr>
        <w:ind w:left="360"/>
        <w:jc w:val="both"/>
        <w:rPr>
          <w:rFonts w:ascii="Times New Roman" w:hAnsi="Times New Roman"/>
          <w:iCs/>
          <w:sz w:val="28"/>
          <w:szCs w:val="28"/>
        </w:rPr>
      </w:pPr>
      <w:r w:rsidRPr="00A87953">
        <w:rPr>
          <w:rFonts w:ascii="Times New Roman" w:hAnsi="Times New Roman"/>
          <w:iCs/>
          <w:sz w:val="28"/>
          <w:szCs w:val="28"/>
        </w:rPr>
        <w:t xml:space="preserve">In </w:t>
      </w:r>
      <w:r w:rsidRPr="00A87953">
        <w:rPr>
          <w:rFonts w:ascii="Times New Roman" w:hAnsi="Times New Roman"/>
          <w:i/>
          <w:iCs/>
          <w:sz w:val="28"/>
          <w:szCs w:val="28"/>
        </w:rPr>
        <w:t>O’Donel v CMR for RD Transport</w:t>
      </w:r>
      <w:r w:rsidRPr="00A87953">
        <w:rPr>
          <w:rStyle w:val="FootnoteReference"/>
          <w:rFonts w:ascii="Times New Roman" w:hAnsi="Times New Roman"/>
          <w:i/>
          <w:iCs/>
          <w:sz w:val="28"/>
          <w:szCs w:val="28"/>
        </w:rPr>
        <w:footnoteReference w:id="17"/>
      </w:r>
      <w:r w:rsidRPr="00A87953">
        <w:rPr>
          <w:rFonts w:ascii="Times New Roman" w:hAnsi="Times New Roman"/>
          <w:iCs/>
          <w:sz w:val="28"/>
          <w:szCs w:val="28"/>
        </w:rPr>
        <w:t xml:space="preserve"> the High Court determined that a decision as to the cause of </w:t>
      </w:r>
      <w:r w:rsidR="003F26FF" w:rsidRPr="00A87953">
        <w:rPr>
          <w:rFonts w:ascii="Times New Roman" w:hAnsi="Times New Roman"/>
          <w:iCs/>
          <w:sz w:val="28"/>
          <w:szCs w:val="28"/>
        </w:rPr>
        <w:t>a worker's</w:t>
      </w:r>
      <w:r w:rsidRPr="00A87953">
        <w:rPr>
          <w:rFonts w:ascii="Times New Roman" w:hAnsi="Times New Roman"/>
          <w:iCs/>
          <w:sz w:val="28"/>
          <w:szCs w:val="28"/>
        </w:rPr>
        <w:t xml:space="preserve"> blindness at one time was not binding upon a decision a</w:t>
      </w:r>
      <w:r w:rsidR="0098342F">
        <w:rPr>
          <w:rFonts w:ascii="Times New Roman" w:hAnsi="Times New Roman"/>
          <w:iCs/>
          <w:sz w:val="28"/>
          <w:szCs w:val="28"/>
        </w:rPr>
        <w:t>s to</w:t>
      </w:r>
      <w:r w:rsidRPr="00A87953">
        <w:rPr>
          <w:rFonts w:ascii="Times New Roman" w:hAnsi="Times New Roman"/>
          <w:iCs/>
          <w:sz w:val="28"/>
          <w:szCs w:val="28"/>
        </w:rPr>
        <w:t xml:space="preserve"> the cause of</w:t>
      </w:r>
      <w:r w:rsidR="003F26FF" w:rsidRPr="00A87953">
        <w:rPr>
          <w:rFonts w:ascii="Times New Roman" w:hAnsi="Times New Roman"/>
          <w:iCs/>
          <w:sz w:val="28"/>
          <w:szCs w:val="28"/>
        </w:rPr>
        <w:t xml:space="preserve"> his</w:t>
      </w:r>
      <w:r w:rsidRPr="00A87953">
        <w:rPr>
          <w:rFonts w:ascii="Times New Roman" w:hAnsi="Times New Roman"/>
          <w:iCs/>
          <w:sz w:val="28"/>
          <w:szCs w:val="28"/>
        </w:rPr>
        <w:t xml:space="preserve"> blindness at a later time.</w:t>
      </w:r>
    </w:p>
    <w:p w:rsidR="00946657" w:rsidRPr="00A87953" w:rsidRDefault="00946657" w:rsidP="00817310">
      <w:pPr>
        <w:numPr>
          <w:ilvl w:val="0"/>
          <w:numId w:val="7"/>
        </w:numPr>
        <w:ind w:left="360"/>
        <w:jc w:val="both"/>
        <w:rPr>
          <w:rFonts w:ascii="Times New Roman" w:hAnsi="Times New Roman"/>
          <w:iCs/>
          <w:sz w:val="28"/>
          <w:szCs w:val="28"/>
        </w:rPr>
      </w:pPr>
      <w:r w:rsidRPr="00A87953">
        <w:rPr>
          <w:rFonts w:ascii="Times New Roman" w:hAnsi="Times New Roman"/>
          <w:i/>
          <w:iCs/>
          <w:sz w:val="28"/>
          <w:szCs w:val="28"/>
        </w:rPr>
        <w:lastRenderedPageBreak/>
        <w:t xml:space="preserve">Kuligowski </w:t>
      </w:r>
      <w:r w:rsidRPr="00A87953">
        <w:rPr>
          <w:rFonts w:ascii="Times New Roman" w:hAnsi="Times New Roman"/>
          <w:iCs/>
          <w:sz w:val="28"/>
          <w:szCs w:val="28"/>
        </w:rPr>
        <w:t>is another example.</w:t>
      </w:r>
      <w:r w:rsidR="00B73F33">
        <w:rPr>
          <w:rFonts w:ascii="Times New Roman" w:hAnsi="Times New Roman"/>
          <w:iCs/>
          <w:sz w:val="28"/>
          <w:szCs w:val="28"/>
        </w:rPr>
        <w:t xml:space="preserve"> </w:t>
      </w:r>
      <w:r w:rsidRPr="00A87953">
        <w:rPr>
          <w:rFonts w:ascii="Times New Roman" w:hAnsi="Times New Roman"/>
          <w:iCs/>
          <w:sz w:val="28"/>
          <w:szCs w:val="28"/>
        </w:rPr>
        <w:t>He was a bus driver injured at work.</w:t>
      </w:r>
      <w:r w:rsidR="00B73F33">
        <w:rPr>
          <w:rFonts w:ascii="Times New Roman" w:hAnsi="Times New Roman"/>
          <w:iCs/>
          <w:sz w:val="28"/>
          <w:szCs w:val="28"/>
        </w:rPr>
        <w:t xml:space="preserve"> </w:t>
      </w:r>
      <w:r w:rsidR="00E91556" w:rsidRPr="00A87953">
        <w:rPr>
          <w:rFonts w:ascii="Times New Roman" w:hAnsi="Times New Roman"/>
          <w:iCs/>
          <w:sz w:val="28"/>
          <w:szCs w:val="28"/>
        </w:rPr>
        <w:t>He t</w:t>
      </w:r>
      <w:r w:rsidRPr="00A87953">
        <w:rPr>
          <w:rFonts w:ascii="Times New Roman" w:hAnsi="Times New Roman"/>
          <w:iCs/>
          <w:sz w:val="28"/>
          <w:szCs w:val="28"/>
        </w:rPr>
        <w:t>wisted his ankle at work in March 1994</w:t>
      </w:r>
      <w:r w:rsidR="00E91556" w:rsidRPr="00A87953">
        <w:rPr>
          <w:rFonts w:ascii="Times New Roman" w:hAnsi="Times New Roman"/>
          <w:iCs/>
          <w:sz w:val="28"/>
          <w:szCs w:val="28"/>
        </w:rPr>
        <w:t>.</w:t>
      </w:r>
      <w:r w:rsidR="00B73F33">
        <w:rPr>
          <w:rFonts w:ascii="Times New Roman" w:hAnsi="Times New Roman"/>
          <w:iCs/>
          <w:sz w:val="28"/>
          <w:szCs w:val="28"/>
        </w:rPr>
        <w:t xml:space="preserve"> </w:t>
      </w:r>
      <w:r w:rsidR="00E91556" w:rsidRPr="00A87953">
        <w:rPr>
          <w:rFonts w:ascii="Times New Roman" w:hAnsi="Times New Roman"/>
          <w:iCs/>
          <w:sz w:val="28"/>
          <w:szCs w:val="28"/>
        </w:rPr>
        <w:t>In December he</w:t>
      </w:r>
      <w:r w:rsidRPr="00A87953">
        <w:rPr>
          <w:rFonts w:ascii="Times New Roman" w:hAnsi="Times New Roman"/>
          <w:iCs/>
          <w:sz w:val="28"/>
          <w:szCs w:val="28"/>
        </w:rPr>
        <w:t xml:space="preserve"> exacerbated the injury</w:t>
      </w:r>
      <w:r w:rsidR="003D5CCB">
        <w:rPr>
          <w:rFonts w:ascii="Times New Roman" w:hAnsi="Times New Roman"/>
          <w:iCs/>
          <w:sz w:val="28"/>
          <w:szCs w:val="28"/>
        </w:rPr>
        <w:t>,</w:t>
      </w:r>
      <w:r w:rsidRPr="00A87953">
        <w:rPr>
          <w:rFonts w:ascii="Times New Roman" w:hAnsi="Times New Roman"/>
          <w:iCs/>
          <w:sz w:val="28"/>
          <w:szCs w:val="28"/>
        </w:rPr>
        <w:t xml:space="preserve"> </w:t>
      </w:r>
      <w:r w:rsidR="00E91556" w:rsidRPr="00A87953">
        <w:rPr>
          <w:rFonts w:ascii="Times New Roman" w:hAnsi="Times New Roman"/>
          <w:iCs/>
          <w:sz w:val="28"/>
          <w:szCs w:val="28"/>
        </w:rPr>
        <w:t xml:space="preserve">and in </w:t>
      </w:r>
      <w:r w:rsidRPr="00A87953">
        <w:rPr>
          <w:rFonts w:ascii="Times New Roman" w:hAnsi="Times New Roman"/>
          <w:iCs/>
          <w:sz w:val="28"/>
          <w:szCs w:val="28"/>
        </w:rPr>
        <w:t>April 1995 his ankle gave way resulting in an injur</w:t>
      </w:r>
      <w:r w:rsidR="0004166B">
        <w:rPr>
          <w:rFonts w:ascii="Times New Roman" w:hAnsi="Times New Roman"/>
          <w:iCs/>
          <w:sz w:val="28"/>
          <w:szCs w:val="28"/>
        </w:rPr>
        <w:t>y</w:t>
      </w:r>
      <w:r w:rsidRPr="00A87953">
        <w:rPr>
          <w:rFonts w:ascii="Times New Roman" w:hAnsi="Times New Roman"/>
          <w:iCs/>
          <w:sz w:val="28"/>
          <w:szCs w:val="28"/>
        </w:rPr>
        <w:t xml:space="preserve"> to his knee.</w:t>
      </w:r>
      <w:r w:rsidR="00B73F33">
        <w:rPr>
          <w:rFonts w:ascii="Times New Roman" w:hAnsi="Times New Roman"/>
          <w:iCs/>
          <w:sz w:val="28"/>
          <w:szCs w:val="28"/>
        </w:rPr>
        <w:t xml:space="preserve"> </w:t>
      </w:r>
      <w:r w:rsidRPr="00A87953">
        <w:rPr>
          <w:rFonts w:ascii="Times New Roman" w:hAnsi="Times New Roman"/>
          <w:iCs/>
          <w:sz w:val="28"/>
          <w:szCs w:val="28"/>
        </w:rPr>
        <w:t xml:space="preserve">After April </w:t>
      </w:r>
      <w:r w:rsidR="0004166B">
        <w:rPr>
          <w:rFonts w:ascii="Times New Roman" w:hAnsi="Times New Roman"/>
          <w:iCs/>
          <w:sz w:val="28"/>
          <w:szCs w:val="28"/>
        </w:rPr>
        <w:t>19</w:t>
      </w:r>
      <w:r w:rsidRPr="00A87953">
        <w:rPr>
          <w:rFonts w:ascii="Times New Roman" w:hAnsi="Times New Roman"/>
          <w:iCs/>
          <w:sz w:val="28"/>
          <w:szCs w:val="28"/>
        </w:rPr>
        <w:t>95 a doctor certified that he was unfit for work and Metrobus commenced paying workers compensation.</w:t>
      </w:r>
      <w:r w:rsidR="00B73F33">
        <w:rPr>
          <w:rFonts w:ascii="Times New Roman" w:hAnsi="Times New Roman"/>
          <w:iCs/>
          <w:sz w:val="28"/>
          <w:szCs w:val="28"/>
        </w:rPr>
        <w:t xml:space="preserve"> </w:t>
      </w:r>
      <w:r w:rsidRPr="00A87953">
        <w:rPr>
          <w:rFonts w:ascii="Times New Roman" w:hAnsi="Times New Roman"/>
          <w:iCs/>
          <w:sz w:val="28"/>
          <w:szCs w:val="28"/>
        </w:rPr>
        <w:t>Metro later disputed Mr Kuligowski’s entitlement to further compensation.</w:t>
      </w:r>
      <w:r w:rsidR="00B73F33">
        <w:rPr>
          <w:rFonts w:ascii="Times New Roman" w:hAnsi="Times New Roman"/>
          <w:iCs/>
          <w:sz w:val="28"/>
          <w:szCs w:val="28"/>
        </w:rPr>
        <w:t xml:space="preserve"> </w:t>
      </w:r>
      <w:r w:rsidRPr="00A87953">
        <w:rPr>
          <w:rFonts w:ascii="Times New Roman" w:hAnsi="Times New Roman"/>
          <w:iCs/>
          <w:sz w:val="28"/>
          <w:szCs w:val="28"/>
        </w:rPr>
        <w:t xml:space="preserve"> </w:t>
      </w:r>
      <w:r w:rsidR="00B810A9" w:rsidRPr="00A87953">
        <w:rPr>
          <w:rFonts w:ascii="Times New Roman" w:hAnsi="Times New Roman"/>
          <w:iCs/>
          <w:sz w:val="28"/>
          <w:szCs w:val="28"/>
        </w:rPr>
        <w:t xml:space="preserve">A </w:t>
      </w:r>
      <w:r w:rsidRPr="00A87953">
        <w:rPr>
          <w:rFonts w:ascii="Times New Roman" w:hAnsi="Times New Roman"/>
          <w:iCs/>
          <w:sz w:val="28"/>
          <w:szCs w:val="28"/>
        </w:rPr>
        <w:t>review officer determined that Mr Kul</w:t>
      </w:r>
      <w:r w:rsidR="0004166B">
        <w:rPr>
          <w:rFonts w:ascii="Times New Roman" w:hAnsi="Times New Roman"/>
          <w:iCs/>
          <w:sz w:val="28"/>
          <w:szCs w:val="28"/>
        </w:rPr>
        <w:t>i</w:t>
      </w:r>
      <w:r w:rsidRPr="00A87953">
        <w:rPr>
          <w:rFonts w:ascii="Times New Roman" w:hAnsi="Times New Roman"/>
          <w:iCs/>
          <w:sz w:val="28"/>
          <w:szCs w:val="28"/>
        </w:rPr>
        <w:t>gowski was not unfit for work and ordered that the weekly payments cease.</w:t>
      </w:r>
      <w:r w:rsidR="00B73F33">
        <w:rPr>
          <w:rFonts w:ascii="Times New Roman" w:hAnsi="Times New Roman"/>
          <w:iCs/>
          <w:sz w:val="28"/>
          <w:szCs w:val="28"/>
        </w:rPr>
        <w:t xml:space="preserve"> </w:t>
      </w:r>
      <w:r w:rsidRPr="00A87953">
        <w:rPr>
          <w:rFonts w:ascii="Times New Roman" w:hAnsi="Times New Roman"/>
          <w:iCs/>
          <w:sz w:val="28"/>
          <w:szCs w:val="28"/>
        </w:rPr>
        <w:t xml:space="preserve">Mr Kuligowski </w:t>
      </w:r>
      <w:r w:rsidR="00E91556" w:rsidRPr="00A87953">
        <w:rPr>
          <w:rFonts w:ascii="Times New Roman" w:hAnsi="Times New Roman"/>
          <w:iCs/>
          <w:sz w:val="28"/>
          <w:szCs w:val="28"/>
        </w:rPr>
        <w:t>then sued in the</w:t>
      </w:r>
      <w:r w:rsidRPr="00A87953">
        <w:rPr>
          <w:rFonts w:ascii="Times New Roman" w:hAnsi="Times New Roman"/>
          <w:iCs/>
          <w:sz w:val="28"/>
          <w:szCs w:val="28"/>
        </w:rPr>
        <w:t xml:space="preserve"> District Court for damages at common law.</w:t>
      </w:r>
      <w:r w:rsidR="00B73F33">
        <w:rPr>
          <w:rFonts w:ascii="Times New Roman" w:hAnsi="Times New Roman"/>
          <w:iCs/>
          <w:sz w:val="28"/>
          <w:szCs w:val="28"/>
        </w:rPr>
        <w:t xml:space="preserve"> </w:t>
      </w:r>
      <w:r w:rsidR="00E91556" w:rsidRPr="00A87953">
        <w:rPr>
          <w:rFonts w:ascii="Times New Roman" w:hAnsi="Times New Roman"/>
          <w:iCs/>
          <w:sz w:val="28"/>
          <w:szCs w:val="28"/>
        </w:rPr>
        <w:t>The High Court found that the find</w:t>
      </w:r>
      <w:r w:rsidRPr="00A87953">
        <w:rPr>
          <w:rFonts w:ascii="Times New Roman" w:hAnsi="Times New Roman"/>
          <w:iCs/>
          <w:sz w:val="28"/>
          <w:szCs w:val="28"/>
        </w:rPr>
        <w:t>ing that the original injury had recovered was a separate issue t</w:t>
      </w:r>
      <w:r w:rsidR="00B810A9" w:rsidRPr="00A87953">
        <w:rPr>
          <w:rFonts w:ascii="Times New Roman" w:hAnsi="Times New Roman"/>
          <w:iCs/>
          <w:sz w:val="28"/>
          <w:szCs w:val="28"/>
        </w:rPr>
        <w:t>o</w:t>
      </w:r>
      <w:r w:rsidRPr="00A87953">
        <w:rPr>
          <w:rFonts w:ascii="Times New Roman" w:hAnsi="Times New Roman"/>
          <w:iCs/>
          <w:sz w:val="28"/>
          <w:szCs w:val="28"/>
        </w:rPr>
        <w:t xml:space="preserve"> whether Mr Kuligo</w:t>
      </w:r>
      <w:r w:rsidR="0004166B">
        <w:rPr>
          <w:rFonts w:ascii="Times New Roman" w:hAnsi="Times New Roman"/>
          <w:iCs/>
          <w:sz w:val="28"/>
          <w:szCs w:val="28"/>
        </w:rPr>
        <w:t>ws</w:t>
      </w:r>
      <w:r w:rsidRPr="00A87953">
        <w:rPr>
          <w:rFonts w:ascii="Times New Roman" w:hAnsi="Times New Roman"/>
          <w:iCs/>
          <w:sz w:val="28"/>
          <w:szCs w:val="28"/>
        </w:rPr>
        <w:t>ki had instability in his ankle at the time he received the knee injury.</w:t>
      </w:r>
      <w:r w:rsidR="00B73F33">
        <w:rPr>
          <w:rFonts w:ascii="Times New Roman" w:hAnsi="Times New Roman"/>
          <w:iCs/>
          <w:sz w:val="28"/>
          <w:szCs w:val="28"/>
        </w:rPr>
        <w:t xml:space="preserve"> </w:t>
      </w:r>
      <w:r w:rsidRPr="00A87953">
        <w:rPr>
          <w:rFonts w:ascii="Times New Roman" w:hAnsi="Times New Roman"/>
          <w:iCs/>
          <w:sz w:val="28"/>
          <w:szCs w:val="28"/>
        </w:rPr>
        <w:t xml:space="preserve">Therefore the finding of the review officer did </w:t>
      </w:r>
      <w:r w:rsidR="00E91556" w:rsidRPr="00A87953">
        <w:rPr>
          <w:rFonts w:ascii="Times New Roman" w:hAnsi="Times New Roman"/>
          <w:iCs/>
          <w:sz w:val="28"/>
          <w:szCs w:val="28"/>
        </w:rPr>
        <w:t>not operate as issue estoppel.</w:t>
      </w:r>
    </w:p>
    <w:p w:rsidR="0088092B" w:rsidRPr="00A87953" w:rsidRDefault="0088092B" w:rsidP="00817310">
      <w:pPr>
        <w:numPr>
          <w:ilvl w:val="0"/>
          <w:numId w:val="7"/>
        </w:numPr>
        <w:ind w:left="360"/>
        <w:jc w:val="both"/>
        <w:rPr>
          <w:rFonts w:ascii="Times New Roman" w:hAnsi="Times New Roman"/>
          <w:sz w:val="28"/>
          <w:szCs w:val="28"/>
        </w:rPr>
      </w:pPr>
      <w:r w:rsidRPr="00A87953">
        <w:rPr>
          <w:rFonts w:ascii="Times New Roman" w:hAnsi="Times New Roman"/>
          <w:sz w:val="28"/>
          <w:szCs w:val="28"/>
          <w:lang w:val="en"/>
        </w:rPr>
        <w:t>A finding that a person is totally and permanently incapacitated at a particular time does not create issue estoppel as to whether the person will be totally incapacitated at a future time</w:t>
      </w:r>
      <w:r w:rsidRPr="00A87953">
        <w:rPr>
          <w:rStyle w:val="FootnoteReference"/>
          <w:rFonts w:ascii="Times New Roman" w:hAnsi="Times New Roman"/>
          <w:sz w:val="28"/>
          <w:szCs w:val="28"/>
          <w:lang w:val="en"/>
        </w:rPr>
        <w:footnoteReference w:id="18"/>
      </w:r>
      <w:r w:rsidR="003D5CCB">
        <w:rPr>
          <w:rFonts w:ascii="Times New Roman" w:hAnsi="Times New Roman"/>
          <w:sz w:val="28"/>
          <w:szCs w:val="28"/>
          <w:lang w:val="en"/>
        </w:rPr>
        <w:t>.</w:t>
      </w:r>
    </w:p>
    <w:p w:rsidR="00263527" w:rsidRPr="00A87953" w:rsidRDefault="00263527" w:rsidP="00817310">
      <w:pPr>
        <w:numPr>
          <w:ilvl w:val="0"/>
          <w:numId w:val="7"/>
        </w:numPr>
        <w:ind w:left="360"/>
        <w:jc w:val="both"/>
        <w:rPr>
          <w:rFonts w:ascii="Times New Roman" w:hAnsi="Times New Roman"/>
          <w:sz w:val="28"/>
          <w:szCs w:val="28"/>
        </w:rPr>
      </w:pPr>
      <w:r w:rsidRPr="00A87953">
        <w:rPr>
          <w:rFonts w:ascii="Times New Roman" w:hAnsi="Times New Roman"/>
          <w:sz w:val="28"/>
          <w:szCs w:val="28"/>
          <w:lang w:val="en"/>
        </w:rPr>
        <w:t xml:space="preserve">A </w:t>
      </w:r>
      <w:r w:rsidR="0088092B" w:rsidRPr="00A87953">
        <w:rPr>
          <w:rFonts w:ascii="Times New Roman" w:hAnsi="Times New Roman"/>
          <w:sz w:val="28"/>
          <w:szCs w:val="28"/>
          <w:lang w:val="en"/>
        </w:rPr>
        <w:t xml:space="preserve">finding that </w:t>
      </w:r>
      <w:r w:rsidR="003D5CCB">
        <w:rPr>
          <w:rFonts w:ascii="Times New Roman" w:hAnsi="Times New Roman"/>
          <w:sz w:val="28"/>
          <w:szCs w:val="28"/>
          <w:lang w:val="en"/>
        </w:rPr>
        <w:t xml:space="preserve">the </w:t>
      </w:r>
      <w:r w:rsidR="0088092B" w:rsidRPr="00A87953">
        <w:rPr>
          <w:rFonts w:ascii="Times New Roman" w:hAnsi="Times New Roman"/>
          <w:sz w:val="28"/>
          <w:szCs w:val="28"/>
          <w:lang w:val="en"/>
        </w:rPr>
        <w:t>appellant was fit to carry out full time employment at a particular time did not create an issue estoppel as to whether the appellant would remain in that condition</w:t>
      </w:r>
      <w:r w:rsidRPr="00A87953">
        <w:rPr>
          <w:rStyle w:val="FootnoteReference"/>
          <w:rFonts w:ascii="Times New Roman" w:hAnsi="Times New Roman"/>
          <w:sz w:val="28"/>
          <w:szCs w:val="28"/>
          <w:lang w:val="en"/>
        </w:rPr>
        <w:footnoteReference w:id="19"/>
      </w:r>
      <w:r w:rsidR="003D5CCB">
        <w:rPr>
          <w:rFonts w:ascii="Times New Roman" w:hAnsi="Times New Roman"/>
          <w:sz w:val="28"/>
          <w:szCs w:val="28"/>
          <w:lang w:val="en"/>
        </w:rPr>
        <w:t>.</w:t>
      </w:r>
    </w:p>
    <w:p w:rsidR="00F50C57" w:rsidRPr="00A87953" w:rsidRDefault="003F26FF" w:rsidP="00817310">
      <w:pPr>
        <w:numPr>
          <w:ilvl w:val="0"/>
          <w:numId w:val="7"/>
        </w:numPr>
        <w:ind w:left="360"/>
        <w:jc w:val="both"/>
        <w:rPr>
          <w:rFonts w:ascii="Times New Roman" w:hAnsi="Times New Roman"/>
          <w:sz w:val="28"/>
          <w:szCs w:val="28"/>
        </w:rPr>
      </w:pPr>
      <w:r w:rsidRPr="00A87953">
        <w:rPr>
          <w:rFonts w:ascii="Times New Roman" w:hAnsi="Times New Roman"/>
          <w:sz w:val="28"/>
          <w:szCs w:val="28"/>
          <w:lang w:val="en"/>
        </w:rPr>
        <w:t>On the other hand</w:t>
      </w:r>
      <w:r w:rsidR="003D5CCB">
        <w:rPr>
          <w:rFonts w:ascii="Times New Roman" w:hAnsi="Times New Roman"/>
          <w:sz w:val="28"/>
          <w:szCs w:val="28"/>
          <w:lang w:val="en"/>
        </w:rPr>
        <w:t>,</w:t>
      </w:r>
      <w:r w:rsidRPr="00A87953">
        <w:rPr>
          <w:rFonts w:ascii="Times New Roman" w:hAnsi="Times New Roman"/>
          <w:sz w:val="28"/>
          <w:szCs w:val="28"/>
          <w:lang w:val="en"/>
        </w:rPr>
        <w:t xml:space="preserve"> a </w:t>
      </w:r>
      <w:r w:rsidR="0088092B" w:rsidRPr="00A87953">
        <w:rPr>
          <w:rFonts w:ascii="Times New Roman" w:hAnsi="Times New Roman"/>
          <w:sz w:val="28"/>
          <w:szCs w:val="28"/>
          <w:lang w:val="en"/>
        </w:rPr>
        <w:t xml:space="preserve">finding in common law claim that </w:t>
      </w:r>
      <w:r w:rsidR="003D5CCB">
        <w:rPr>
          <w:rFonts w:ascii="Times New Roman" w:hAnsi="Times New Roman"/>
          <w:sz w:val="28"/>
          <w:szCs w:val="28"/>
          <w:lang w:val="en"/>
        </w:rPr>
        <w:t xml:space="preserve">a </w:t>
      </w:r>
      <w:r w:rsidR="0088092B" w:rsidRPr="00A87953">
        <w:rPr>
          <w:rFonts w:ascii="Times New Roman" w:hAnsi="Times New Roman"/>
          <w:sz w:val="28"/>
          <w:szCs w:val="28"/>
          <w:lang w:val="en"/>
        </w:rPr>
        <w:t xml:space="preserve">worker’s injuries had not caused him to be incapable of work </w:t>
      </w:r>
      <w:r w:rsidRPr="00A87953">
        <w:rPr>
          <w:rFonts w:ascii="Times New Roman" w:hAnsi="Times New Roman"/>
          <w:sz w:val="28"/>
          <w:szCs w:val="28"/>
          <w:lang w:val="en"/>
        </w:rPr>
        <w:t xml:space="preserve">did </w:t>
      </w:r>
      <w:r w:rsidR="0088092B" w:rsidRPr="00A87953">
        <w:rPr>
          <w:rFonts w:ascii="Times New Roman" w:hAnsi="Times New Roman"/>
          <w:sz w:val="28"/>
          <w:szCs w:val="28"/>
          <w:lang w:val="en"/>
        </w:rPr>
        <w:t xml:space="preserve">create an estoppel on the issue of incapacity for work in subsequent workers compensation proceedings, </w:t>
      </w:r>
      <w:r w:rsidR="00002FB8" w:rsidRPr="00A87953">
        <w:rPr>
          <w:rFonts w:ascii="Times New Roman" w:hAnsi="Times New Roman"/>
          <w:sz w:val="28"/>
          <w:szCs w:val="28"/>
          <w:lang w:val="en"/>
        </w:rPr>
        <w:t xml:space="preserve">when </w:t>
      </w:r>
      <w:r w:rsidR="0088092B" w:rsidRPr="00A87953">
        <w:rPr>
          <w:rFonts w:ascii="Times New Roman" w:hAnsi="Times New Roman"/>
          <w:sz w:val="28"/>
          <w:szCs w:val="28"/>
          <w:lang w:val="en"/>
        </w:rPr>
        <w:t xml:space="preserve">there </w:t>
      </w:r>
      <w:r w:rsidR="00002FB8" w:rsidRPr="00A87953">
        <w:rPr>
          <w:rFonts w:ascii="Times New Roman" w:hAnsi="Times New Roman"/>
          <w:sz w:val="28"/>
          <w:szCs w:val="28"/>
          <w:lang w:val="en"/>
        </w:rPr>
        <w:t>was</w:t>
      </w:r>
      <w:r w:rsidR="0088092B" w:rsidRPr="00A87953">
        <w:rPr>
          <w:rFonts w:ascii="Times New Roman" w:hAnsi="Times New Roman"/>
          <w:sz w:val="28"/>
          <w:szCs w:val="28"/>
          <w:lang w:val="en"/>
        </w:rPr>
        <w:t xml:space="preserve"> no suggestion that the worker’s condition had changed since the earlier proceedings</w:t>
      </w:r>
      <w:r w:rsidRPr="00A87953">
        <w:rPr>
          <w:rStyle w:val="FootnoteReference"/>
          <w:rFonts w:ascii="Times New Roman" w:hAnsi="Times New Roman"/>
          <w:sz w:val="28"/>
          <w:szCs w:val="28"/>
          <w:lang w:val="en"/>
        </w:rPr>
        <w:footnoteReference w:id="20"/>
      </w:r>
      <w:r w:rsidR="0088092B" w:rsidRPr="00A87953">
        <w:rPr>
          <w:rFonts w:ascii="Times New Roman" w:hAnsi="Times New Roman"/>
          <w:sz w:val="28"/>
          <w:szCs w:val="28"/>
          <w:lang w:val="en"/>
        </w:rPr>
        <w:t>.</w:t>
      </w:r>
    </w:p>
    <w:p w:rsidR="00F50C57" w:rsidRPr="00A87953" w:rsidRDefault="00E4607E" w:rsidP="00817310">
      <w:pPr>
        <w:jc w:val="both"/>
        <w:rPr>
          <w:rFonts w:ascii="Times New Roman" w:hAnsi="Times New Roman"/>
          <w:sz w:val="28"/>
          <w:szCs w:val="28"/>
          <w:lang w:val="en"/>
        </w:rPr>
      </w:pPr>
      <w:r w:rsidRPr="00A87953">
        <w:rPr>
          <w:rFonts w:ascii="Times New Roman" w:hAnsi="Times New Roman"/>
          <w:sz w:val="28"/>
          <w:szCs w:val="28"/>
          <w:lang w:val="en"/>
        </w:rPr>
        <w:tab/>
      </w:r>
      <w:r w:rsidR="004E3251" w:rsidRPr="00A87953">
        <w:rPr>
          <w:rFonts w:ascii="Times New Roman" w:hAnsi="Times New Roman"/>
          <w:sz w:val="28"/>
          <w:szCs w:val="28"/>
          <w:lang w:val="en"/>
        </w:rPr>
        <w:t>A situation will sometimes arise that persons are exposed to proceedings of a regulatory or disciplinary nature before a professional or vocational board or tribunal.</w:t>
      </w:r>
      <w:r w:rsidR="00B73F33">
        <w:rPr>
          <w:rFonts w:ascii="Times New Roman" w:hAnsi="Times New Roman"/>
          <w:sz w:val="28"/>
          <w:szCs w:val="28"/>
          <w:lang w:val="en"/>
        </w:rPr>
        <w:t xml:space="preserve"> </w:t>
      </w:r>
      <w:r w:rsidR="004E3251" w:rsidRPr="00A87953">
        <w:rPr>
          <w:rFonts w:ascii="Times New Roman" w:hAnsi="Times New Roman"/>
          <w:sz w:val="28"/>
          <w:szCs w:val="28"/>
          <w:lang w:val="en"/>
        </w:rPr>
        <w:t>Such cases usually involve allegations of "professional misconduct" or "unprofessional conduct" or "unsatisfactory professional conduct".</w:t>
      </w:r>
      <w:r w:rsidR="00B73F33">
        <w:rPr>
          <w:rFonts w:ascii="Times New Roman" w:hAnsi="Times New Roman"/>
          <w:sz w:val="28"/>
          <w:szCs w:val="28"/>
          <w:lang w:val="en"/>
        </w:rPr>
        <w:t xml:space="preserve"> </w:t>
      </w:r>
      <w:r w:rsidR="004E3251" w:rsidRPr="00A87953">
        <w:rPr>
          <w:rFonts w:ascii="Times New Roman" w:hAnsi="Times New Roman"/>
          <w:sz w:val="28"/>
          <w:szCs w:val="28"/>
          <w:lang w:val="en"/>
        </w:rPr>
        <w:t xml:space="preserve">It is sometimes the case that such persons may also be exposed to claims for damages </w:t>
      </w:r>
      <w:r w:rsidR="004B12F2" w:rsidRPr="00A87953">
        <w:rPr>
          <w:rFonts w:ascii="Times New Roman" w:hAnsi="Times New Roman"/>
          <w:sz w:val="28"/>
          <w:szCs w:val="28"/>
          <w:lang w:val="en"/>
        </w:rPr>
        <w:t>for which they may be insured.</w:t>
      </w:r>
    </w:p>
    <w:p w:rsidR="00F50C57" w:rsidRPr="00A87953" w:rsidRDefault="00F50C57" w:rsidP="00817310">
      <w:pPr>
        <w:jc w:val="both"/>
        <w:rPr>
          <w:rFonts w:ascii="Times New Roman" w:hAnsi="Times New Roman"/>
          <w:b/>
          <w:bCs/>
          <w:sz w:val="28"/>
          <w:szCs w:val="28"/>
        </w:rPr>
      </w:pPr>
      <w:r w:rsidRPr="00A87953">
        <w:rPr>
          <w:rFonts w:ascii="Times New Roman" w:hAnsi="Times New Roman"/>
          <w:b/>
          <w:bCs/>
          <w:sz w:val="28"/>
          <w:szCs w:val="28"/>
        </w:rPr>
        <w:lastRenderedPageBreak/>
        <w:t>Privity</w:t>
      </w:r>
    </w:p>
    <w:p w:rsidR="00060488" w:rsidRPr="00A87953" w:rsidRDefault="00E4607E" w:rsidP="00817310">
      <w:pPr>
        <w:jc w:val="both"/>
        <w:rPr>
          <w:rFonts w:ascii="Times New Roman" w:hAnsi="Times New Roman"/>
          <w:sz w:val="28"/>
          <w:szCs w:val="28"/>
          <w:lang w:val="en"/>
        </w:rPr>
      </w:pPr>
      <w:r w:rsidRPr="00A87953">
        <w:rPr>
          <w:rFonts w:ascii="Times New Roman" w:hAnsi="Times New Roman"/>
          <w:sz w:val="28"/>
          <w:szCs w:val="28"/>
          <w:lang w:val="en"/>
        </w:rPr>
        <w:tab/>
      </w:r>
      <w:r w:rsidR="00F50C57" w:rsidRPr="00A87953">
        <w:rPr>
          <w:rFonts w:ascii="Times New Roman" w:hAnsi="Times New Roman"/>
          <w:sz w:val="28"/>
          <w:szCs w:val="28"/>
          <w:lang w:val="en"/>
        </w:rPr>
        <w:t>Issue estoppel will only arise if the first determination involves the same parties, or at least parties with the same legal interest</w:t>
      </w:r>
      <w:r w:rsidR="002C5078" w:rsidRPr="00A87953">
        <w:rPr>
          <w:rFonts w:ascii="Times New Roman" w:hAnsi="Times New Roman"/>
          <w:sz w:val="28"/>
          <w:szCs w:val="28"/>
          <w:lang w:val="en"/>
        </w:rPr>
        <w:t>.</w:t>
      </w:r>
      <w:r w:rsidR="00B73F33">
        <w:rPr>
          <w:rFonts w:ascii="Times New Roman" w:hAnsi="Times New Roman"/>
          <w:sz w:val="28"/>
          <w:szCs w:val="28"/>
          <w:lang w:val="en"/>
        </w:rPr>
        <w:t xml:space="preserve"> </w:t>
      </w:r>
      <w:r w:rsidR="002C5078" w:rsidRPr="00A87953">
        <w:rPr>
          <w:rFonts w:ascii="Times New Roman" w:hAnsi="Times New Roman"/>
          <w:sz w:val="28"/>
          <w:szCs w:val="28"/>
          <w:lang w:val="en"/>
        </w:rPr>
        <w:t>A decision involving A and B cannot bind C.</w:t>
      </w:r>
      <w:r w:rsidR="00B73F33">
        <w:rPr>
          <w:rFonts w:ascii="Times New Roman" w:hAnsi="Times New Roman"/>
          <w:sz w:val="28"/>
          <w:szCs w:val="28"/>
          <w:lang w:val="en"/>
        </w:rPr>
        <w:t xml:space="preserve"> </w:t>
      </w:r>
      <w:r w:rsidR="002C5078" w:rsidRPr="00A87953">
        <w:rPr>
          <w:rFonts w:ascii="Times New Roman" w:hAnsi="Times New Roman"/>
          <w:sz w:val="28"/>
          <w:szCs w:val="28"/>
          <w:lang w:val="en"/>
        </w:rPr>
        <w:t xml:space="preserve">In cases of multiple parties all those </w:t>
      </w:r>
      <w:r w:rsidR="00887092" w:rsidRPr="00A87953">
        <w:rPr>
          <w:rFonts w:ascii="Times New Roman" w:hAnsi="Times New Roman"/>
          <w:sz w:val="28"/>
          <w:szCs w:val="28"/>
          <w:lang w:val="en"/>
        </w:rPr>
        <w:t>involved in the issue in dispute</w:t>
      </w:r>
      <w:r w:rsidR="003D5CCB">
        <w:rPr>
          <w:rFonts w:ascii="Times New Roman" w:hAnsi="Times New Roman"/>
          <w:sz w:val="28"/>
          <w:szCs w:val="28"/>
          <w:lang w:val="en"/>
        </w:rPr>
        <w:t>, not necessarily all the parties in the case, will be bound</w:t>
      </w:r>
      <w:r w:rsidR="00887092" w:rsidRPr="00A87953">
        <w:rPr>
          <w:rFonts w:ascii="Times New Roman" w:hAnsi="Times New Roman"/>
          <w:sz w:val="28"/>
          <w:szCs w:val="28"/>
          <w:lang w:val="en"/>
        </w:rPr>
        <w:t>.</w:t>
      </w:r>
      <w:r w:rsidR="00B73F33">
        <w:rPr>
          <w:rFonts w:ascii="Times New Roman" w:hAnsi="Times New Roman"/>
          <w:sz w:val="28"/>
          <w:szCs w:val="28"/>
          <w:lang w:val="en"/>
        </w:rPr>
        <w:t xml:space="preserve"> </w:t>
      </w:r>
      <w:r w:rsidR="00887092" w:rsidRPr="00A87953">
        <w:rPr>
          <w:rFonts w:ascii="Times New Roman" w:hAnsi="Times New Roman"/>
          <w:sz w:val="28"/>
          <w:szCs w:val="28"/>
          <w:lang w:val="en"/>
        </w:rPr>
        <w:t xml:space="preserve">It will also include third parties </w:t>
      </w:r>
      <w:r w:rsidR="002C5078" w:rsidRPr="00A87953">
        <w:rPr>
          <w:rFonts w:ascii="Times New Roman" w:hAnsi="Times New Roman"/>
          <w:sz w:val="28"/>
          <w:szCs w:val="28"/>
          <w:lang w:val="en"/>
        </w:rPr>
        <w:t xml:space="preserve">in cases where they are directly concerned with that dispute, for example indemnity or apportionment, and also </w:t>
      </w:r>
      <w:r w:rsidR="00887092" w:rsidRPr="00A87953">
        <w:rPr>
          <w:rFonts w:ascii="Times New Roman" w:hAnsi="Times New Roman"/>
          <w:sz w:val="28"/>
          <w:szCs w:val="28"/>
          <w:lang w:val="en"/>
        </w:rPr>
        <w:t>where an order has been made that they are bound by the result of the proceedings.</w:t>
      </w:r>
      <w:r w:rsidR="00B73F33">
        <w:rPr>
          <w:rFonts w:ascii="Times New Roman" w:hAnsi="Times New Roman"/>
          <w:sz w:val="28"/>
          <w:szCs w:val="28"/>
          <w:lang w:val="en"/>
        </w:rPr>
        <w:t xml:space="preserve"> </w:t>
      </w:r>
      <w:r w:rsidR="00887092" w:rsidRPr="00A87953">
        <w:rPr>
          <w:rFonts w:ascii="Times New Roman" w:hAnsi="Times New Roman"/>
          <w:sz w:val="28"/>
          <w:szCs w:val="28"/>
          <w:lang w:val="en"/>
        </w:rPr>
        <w:t>It will also include any party intervening in the proceedings.</w:t>
      </w:r>
    </w:p>
    <w:p w:rsidR="00887092" w:rsidRPr="00A87953" w:rsidRDefault="00E4607E" w:rsidP="00817310">
      <w:pPr>
        <w:jc w:val="both"/>
        <w:rPr>
          <w:rFonts w:ascii="Times New Roman" w:hAnsi="Times New Roman"/>
          <w:sz w:val="28"/>
          <w:szCs w:val="28"/>
          <w:lang w:val="en"/>
        </w:rPr>
      </w:pPr>
      <w:r w:rsidRPr="00A87953">
        <w:rPr>
          <w:rFonts w:ascii="Times New Roman" w:hAnsi="Times New Roman"/>
          <w:sz w:val="28"/>
          <w:szCs w:val="28"/>
          <w:lang w:val="en"/>
        </w:rPr>
        <w:tab/>
      </w:r>
      <w:r w:rsidR="00887092" w:rsidRPr="00A87953">
        <w:rPr>
          <w:rFonts w:ascii="Times New Roman" w:hAnsi="Times New Roman"/>
          <w:sz w:val="28"/>
          <w:szCs w:val="28"/>
          <w:lang w:val="en"/>
        </w:rPr>
        <w:t>Importantly</w:t>
      </w:r>
      <w:r w:rsidR="002C5078" w:rsidRPr="00A87953">
        <w:rPr>
          <w:rFonts w:ascii="Times New Roman" w:hAnsi="Times New Roman"/>
          <w:sz w:val="28"/>
          <w:szCs w:val="28"/>
          <w:lang w:val="en"/>
        </w:rPr>
        <w:t xml:space="preserve"> for present purposes</w:t>
      </w:r>
      <w:r w:rsidR="00887092" w:rsidRPr="00A87953">
        <w:rPr>
          <w:rFonts w:ascii="Times New Roman" w:hAnsi="Times New Roman"/>
          <w:sz w:val="28"/>
          <w:szCs w:val="28"/>
          <w:lang w:val="en"/>
        </w:rPr>
        <w:t>, it also includes any party with the same legal interest.</w:t>
      </w:r>
      <w:r w:rsidR="00B73F33">
        <w:rPr>
          <w:rFonts w:ascii="Times New Roman" w:hAnsi="Times New Roman"/>
          <w:sz w:val="28"/>
          <w:szCs w:val="28"/>
          <w:lang w:val="en"/>
        </w:rPr>
        <w:t xml:space="preserve"> </w:t>
      </w:r>
      <w:r w:rsidR="00887092" w:rsidRPr="00A87953">
        <w:rPr>
          <w:rFonts w:ascii="Times New Roman" w:hAnsi="Times New Roman"/>
          <w:sz w:val="28"/>
          <w:szCs w:val="28"/>
          <w:lang w:val="en"/>
        </w:rPr>
        <w:t>In the authorities this is referred to as the "privy" of the party.</w:t>
      </w:r>
      <w:r w:rsidR="00B73F33">
        <w:rPr>
          <w:rFonts w:ascii="Times New Roman" w:hAnsi="Times New Roman"/>
          <w:sz w:val="28"/>
          <w:szCs w:val="28"/>
          <w:lang w:val="en"/>
        </w:rPr>
        <w:t xml:space="preserve"> </w:t>
      </w:r>
      <w:r w:rsidR="00887092" w:rsidRPr="00A87953">
        <w:rPr>
          <w:rFonts w:ascii="Times New Roman" w:hAnsi="Times New Roman"/>
          <w:sz w:val="28"/>
          <w:szCs w:val="28"/>
          <w:lang w:val="en"/>
        </w:rPr>
        <w:t>It will, for example, include the estate of a deceased person where the estate is suing in right of the deceased.</w:t>
      </w:r>
      <w:r w:rsidR="00B73F33">
        <w:rPr>
          <w:rFonts w:ascii="Times New Roman" w:hAnsi="Times New Roman"/>
          <w:sz w:val="28"/>
          <w:szCs w:val="28"/>
          <w:lang w:val="en"/>
        </w:rPr>
        <w:t xml:space="preserve"> </w:t>
      </w:r>
      <w:r w:rsidR="00887092" w:rsidRPr="00A87953">
        <w:rPr>
          <w:rFonts w:ascii="Times New Roman" w:hAnsi="Times New Roman"/>
          <w:sz w:val="28"/>
          <w:szCs w:val="28"/>
          <w:lang w:val="en"/>
        </w:rPr>
        <w:t xml:space="preserve">It </w:t>
      </w:r>
      <w:r w:rsidR="001938AA" w:rsidRPr="00A87953">
        <w:rPr>
          <w:rFonts w:ascii="Times New Roman" w:hAnsi="Times New Roman"/>
          <w:sz w:val="28"/>
          <w:szCs w:val="28"/>
          <w:lang w:val="en"/>
        </w:rPr>
        <w:t xml:space="preserve">may </w:t>
      </w:r>
      <w:r w:rsidR="00887092" w:rsidRPr="00A87953">
        <w:rPr>
          <w:rFonts w:ascii="Times New Roman" w:hAnsi="Times New Roman"/>
          <w:sz w:val="28"/>
          <w:szCs w:val="28"/>
          <w:lang w:val="en"/>
        </w:rPr>
        <w:t>also include an insurer</w:t>
      </w:r>
      <w:r w:rsidR="004E3251" w:rsidRPr="00A87953">
        <w:rPr>
          <w:rFonts w:ascii="Times New Roman" w:hAnsi="Times New Roman"/>
          <w:sz w:val="28"/>
          <w:szCs w:val="28"/>
          <w:lang w:val="en"/>
        </w:rPr>
        <w:t>.</w:t>
      </w:r>
      <w:r w:rsidR="00B73F33">
        <w:rPr>
          <w:rFonts w:ascii="Times New Roman" w:hAnsi="Times New Roman"/>
          <w:sz w:val="28"/>
          <w:szCs w:val="28"/>
          <w:lang w:val="en"/>
        </w:rPr>
        <w:t xml:space="preserve"> </w:t>
      </w:r>
      <w:r w:rsidR="004E3251" w:rsidRPr="00A87953">
        <w:rPr>
          <w:rFonts w:ascii="Times New Roman" w:hAnsi="Times New Roman"/>
          <w:sz w:val="28"/>
          <w:szCs w:val="28"/>
          <w:lang w:val="en"/>
        </w:rPr>
        <w:t>It is usually the case that actions involving insurers are conducted in the name of the insured.</w:t>
      </w:r>
      <w:r w:rsidR="00B73F33">
        <w:rPr>
          <w:rFonts w:ascii="Times New Roman" w:hAnsi="Times New Roman"/>
          <w:sz w:val="28"/>
          <w:szCs w:val="28"/>
          <w:lang w:val="en"/>
        </w:rPr>
        <w:t xml:space="preserve"> </w:t>
      </w:r>
      <w:r w:rsidR="004E3251" w:rsidRPr="00A87953">
        <w:rPr>
          <w:rFonts w:ascii="Times New Roman" w:hAnsi="Times New Roman"/>
          <w:sz w:val="28"/>
          <w:szCs w:val="28"/>
          <w:lang w:val="en"/>
        </w:rPr>
        <w:t>Occasionally insurers have a right to sue.</w:t>
      </w:r>
      <w:r w:rsidR="00B73F33">
        <w:rPr>
          <w:rFonts w:ascii="Times New Roman" w:hAnsi="Times New Roman"/>
          <w:sz w:val="28"/>
          <w:szCs w:val="28"/>
          <w:lang w:val="en"/>
        </w:rPr>
        <w:t xml:space="preserve"> </w:t>
      </w:r>
      <w:r w:rsidR="00C61443" w:rsidRPr="00A87953">
        <w:rPr>
          <w:rFonts w:ascii="Times New Roman" w:hAnsi="Times New Roman"/>
          <w:sz w:val="28"/>
          <w:szCs w:val="28"/>
          <w:lang w:val="en"/>
        </w:rPr>
        <w:t xml:space="preserve">An employer's right of contribution or indemnity from third parties under the </w:t>
      </w:r>
      <w:r w:rsidR="00C61443" w:rsidRPr="00A87953">
        <w:rPr>
          <w:rFonts w:ascii="Times New Roman" w:hAnsi="Times New Roman"/>
          <w:bCs/>
          <w:i/>
          <w:sz w:val="28"/>
          <w:szCs w:val="28"/>
        </w:rPr>
        <w:t>Workers Rehabilitation and Compensation Act</w:t>
      </w:r>
      <w:r w:rsidR="00C61443" w:rsidRPr="00A87953">
        <w:rPr>
          <w:rFonts w:ascii="Times New Roman" w:hAnsi="Times New Roman"/>
          <w:bCs/>
          <w:sz w:val="28"/>
          <w:szCs w:val="28"/>
        </w:rPr>
        <w:t xml:space="preserve"> 1988</w:t>
      </w:r>
      <w:r w:rsidR="00C61443" w:rsidRPr="00A87953">
        <w:rPr>
          <w:rFonts w:ascii="Times New Roman" w:hAnsi="Times New Roman"/>
          <w:bCs/>
          <w:sz w:val="28"/>
          <w:szCs w:val="28"/>
          <w:vertAlign w:val="superscript"/>
        </w:rPr>
        <w:footnoteReference w:id="21"/>
      </w:r>
      <w:r w:rsidR="00C61443" w:rsidRPr="00A87953">
        <w:rPr>
          <w:rFonts w:ascii="Times New Roman" w:hAnsi="Times New Roman"/>
          <w:bCs/>
          <w:sz w:val="28"/>
          <w:szCs w:val="28"/>
        </w:rPr>
        <w:t xml:space="preserve"> is </w:t>
      </w:r>
      <w:r w:rsidR="00C61443" w:rsidRPr="00A87953">
        <w:rPr>
          <w:rFonts w:ascii="Times New Roman" w:hAnsi="Times New Roman"/>
          <w:bCs/>
          <w:sz w:val="28"/>
          <w:szCs w:val="28"/>
          <w:lang w:val="en"/>
        </w:rPr>
        <w:t>an example.</w:t>
      </w:r>
      <w:r w:rsidR="00B73F33">
        <w:rPr>
          <w:rFonts w:ascii="Times New Roman" w:hAnsi="Times New Roman"/>
          <w:bCs/>
          <w:sz w:val="28"/>
          <w:szCs w:val="28"/>
          <w:lang w:val="en"/>
        </w:rPr>
        <w:t xml:space="preserve"> </w:t>
      </w:r>
      <w:r w:rsidR="002E013D" w:rsidRPr="00A87953">
        <w:rPr>
          <w:rFonts w:ascii="Times New Roman" w:hAnsi="Times New Roman"/>
          <w:sz w:val="28"/>
          <w:szCs w:val="28"/>
          <w:lang w:val="en"/>
        </w:rPr>
        <w:t xml:space="preserve">Rights of recovery </w:t>
      </w:r>
      <w:r w:rsidR="00C61443" w:rsidRPr="00A87953">
        <w:rPr>
          <w:rFonts w:ascii="Times New Roman" w:hAnsi="Times New Roman"/>
          <w:sz w:val="28"/>
          <w:szCs w:val="28"/>
          <w:lang w:val="en"/>
        </w:rPr>
        <w:t>given to the MAIB</w:t>
      </w:r>
      <w:r w:rsidR="001938AA" w:rsidRPr="00A87953">
        <w:rPr>
          <w:rStyle w:val="FootnoteReference"/>
          <w:rFonts w:ascii="Times New Roman" w:hAnsi="Times New Roman"/>
          <w:sz w:val="28"/>
          <w:szCs w:val="28"/>
          <w:lang w:val="en"/>
        </w:rPr>
        <w:footnoteReference w:id="22"/>
      </w:r>
      <w:r w:rsidR="00C61443" w:rsidRPr="00A87953">
        <w:rPr>
          <w:rFonts w:ascii="Times New Roman" w:hAnsi="Times New Roman"/>
          <w:sz w:val="28"/>
          <w:szCs w:val="28"/>
          <w:lang w:val="en"/>
        </w:rPr>
        <w:t xml:space="preserve"> are</w:t>
      </w:r>
      <w:r w:rsidR="002E013D" w:rsidRPr="00A87953">
        <w:rPr>
          <w:rFonts w:ascii="Times New Roman" w:hAnsi="Times New Roman"/>
          <w:sz w:val="28"/>
          <w:szCs w:val="28"/>
          <w:lang w:val="en"/>
        </w:rPr>
        <w:t xml:space="preserve"> </w:t>
      </w:r>
      <w:r w:rsidR="00D52A16" w:rsidRPr="00A87953">
        <w:rPr>
          <w:rFonts w:ascii="Times New Roman" w:hAnsi="Times New Roman"/>
          <w:bCs/>
          <w:sz w:val="28"/>
          <w:szCs w:val="28"/>
        </w:rPr>
        <w:t>another.</w:t>
      </w:r>
      <w:r w:rsidR="00B73F33">
        <w:rPr>
          <w:rFonts w:ascii="Times New Roman" w:hAnsi="Times New Roman"/>
          <w:bCs/>
          <w:sz w:val="28"/>
          <w:szCs w:val="28"/>
        </w:rPr>
        <w:t xml:space="preserve"> </w:t>
      </w:r>
      <w:r w:rsidR="00D52A16" w:rsidRPr="00A87953">
        <w:rPr>
          <w:rFonts w:ascii="Times New Roman" w:hAnsi="Times New Roman"/>
          <w:bCs/>
          <w:sz w:val="28"/>
          <w:szCs w:val="28"/>
        </w:rPr>
        <w:t xml:space="preserve">In such cases the insurer's interest may be </w:t>
      </w:r>
      <w:r w:rsidR="004E3251" w:rsidRPr="00A87953">
        <w:rPr>
          <w:rFonts w:ascii="Times New Roman" w:hAnsi="Times New Roman"/>
          <w:sz w:val="28"/>
          <w:szCs w:val="28"/>
          <w:lang w:val="en"/>
        </w:rPr>
        <w:t>different, and different questions are to be resolved, but the possibility of an issue estoppel is always to be borne in mind.</w:t>
      </w:r>
    </w:p>
    <w:p w:rsidR="001808B9" w:rsidRPr="00A87953" w:rsidRDefault="001808B9" w:rsidP="00817310">
      <w:pPr>
        <w:jc w:val="both"/>
        <w:rPr>
          <w:rFonts w:ascii="Times New Roman" w:hAnsi="Times New Roman"/>
          <w:sz w:val="28"/>
          <w:szCs w:val="28"/>
          <w:lang w:val="en"/>
        </w:rPr>
      </w:pPr>
    </w:p>
    <w:p w:rsidR="00D44EFE" w:rsidRPr="00A87953" w:rsidRDefault="00D44EFE" w:rsidP="00817310">
      <w:pPr>
        <w:jc w:val="both"/>
        <w:rPr>
          <w:rFonts w:ascii="Times New Roman" w:hAnsi="Times New Roman"/>
          <w:sz w:val="28"/>
          <w:szCs w:val="28"/>
        </w:rPr>
      </w:pPr>
      <w:r w:rsidRPr="00A87953">
        <w:rPr>
          <w:rFonts w:ascii="Times New Roman" w:hAnsi="Times New Roman"/>
          <w:b/>
          <w:bCs/>
          <w:sz w:val="28"/>
          <w:szCs w:val="28"/>
        </w:rPr>
        <w:t>Special circumstances</w:t>
      </w:r>
    </w:p>
    <w:p w:rsidR="00D44EFE" w:rsidRPr="00A87953" w:rsidRDefault="00E4607E" w:rsidP="00817310">
      <w:pPr>
        <w:jc w:val="both"/>
        <w:rPr>
          <w:rFonts w:ascii="Times New Roman" w:hAnsi="Times New Roman"/>
          <w:sz w:val="28"/>
          <w:szCs w:val="28"/>
        </w:rPr>
      </w:pPr>
      <w:r w:rsidRPr="00A87953">
        <w:rPr>
          <w:rFonts w:ascii="Times New Roman" w:hAnsi="Times New Roman"/>
          <w:sz w:val="28"/>
          <w:szCs w:val="28"/>
        </w:rPr>
        <w:tab/>
      </w:r>
      <w:r w:rsidR="00D44EFE" w:rsidRPr="00A87953">
        <w:rPr>
          <w:rFonts w:ascii="Times New Roman" w:hAnsi="Times New Roman"/>
          <w:sz w:val="28"/>
          <w:szCs w:val="28"/>
        </w:rPr>
        <w:t>The</w:t>
      </w:r>
      <w:r w:rsidR="0031348D" w:rsidRPr="00A87953">
        <w:rPr>
          <w:rFonts w:ascii="Times New Roman" w:hAnsi="Times New Roman"/>
          <w:sz w:val="28"/>
          <w:szCs w:val="28"/>
        </w:rPr>
        <w:t xml:space="preserve">re is some </w:t>
      </w:r>
      <w:r w:rsidR="007D7325" w:rsidRPr="00A87953">
        <w:rPr>
          <w:rFonts w:ascii="Times New Roman" w:hAnsi="Times New Roman"/>
          <w:sz w:val="28"/>
          <w:szCs w:val="28"/>
        </w:rPr>
        <w:t xml:space="preserve">English </w:t>
      </w:r>
      <w:r w:rsidR="0031348D" w:rsidRPr="00A87953">
        <w:rPr>
          <w:rFonts w:ascii="Times New Roman" w:hAnsi="Times New Roman"/>
          <w:sz w:val="28"/>
          <w:szCs w:val="28"/>
        </w:rPr>
        <w:t>authority for the proposition that an issue estoppel will not operate if "spe</w:t>
      </w:r>
      <w:r w:rsidR="00D44EFE" w:rsidRPr="00A87953">
        <w:rPr>
          <w:rFonts w:ascii="Times New Roman" w:hAnsi="Times New Roman"/>
          <w:sz w:val="28"/>
          <w:szCs w:val="28"/>
        </w:rPr>
        <w:t>cial circumstances</w:t>
      </w:r>
      <w:r w:rsidR="0031348D" w:rsidRPr="00A87953">
        <w:rPr>
          <w:rFonts w:ascii="Times New Roman" w:hAnsi="Times New Roman"/>
          <w:sz w:val="28"/>
          <w:szCs w:val="28"/>
        </w:rPr>
        <w:t>"</w:t>
      </w:r>
      <w:r w:rsidR="00463988">
        <w:rPr>
          <w:rFonts w:ascii="Times New Roman" w:hAnsi="Times New Roman"/>
          <w:sz w:val="28"/>
          <w:szCs w:val="28"/>
        </w:rPr>
        <w:t xml:space="preserve"> </w:t>
      </w:r>
      <w:r w:rsidR="003B0359">
        <w:rPr>
          <w:rFonts w:ascii="Times New Roman" w:hAnsi="Times New Roman"/>
          <w:sz w:val="28"/>
          <w:szCs w:val="28"/>
        </w:rPr>
        <w:t>exist</w:t>
      </w:r>
      <w:r w:rsidR="0031348D" w:rsidRPr="00A87953">
        <w:rPr>
          <w:rStyle w:val="FootnoteReference"/>
          <w:rFonts w:ascii="Times New Roman" w:hAnsi="Times New Roman"/>
          <w:sz w:val="28"/>
          <w:szCs w:val="28"/>
        </w:rPr>
        <w:footnoteReference w:id="23"/>
      </w:r>
      <w:r w:rsidR="007D7325" w:rsidRPr="00A87953">
        <w:rPr>
          <w:rFonts w:ascii="Times New Roman" w:hAnsi="Times New Roman"/>
          <w:sz w:val="28"/>
          <w:szCs w:val="28"/>
        </w:rPr>
        <w:t>, such as new evidence, or a change in the law</w:t>
      </w:r>
      <w:r w:rsidR="00D44EFE" w:rsidRPr="00A87953">
        <w:rPr>
          <w:rFonts w:ascii="Times New Roman" w:hAnsi="Times New Roman"/>
          <w:sz w:val="28"/>
          <w:szCs w:val="28"/>
        </w:rPr>
        <w:t>.</w:t>
      </w:r>
      <w:r w:rsidR="00B73F33">
        <w:rPr>
          <w:rFonts w:ascii="Times New Roman" w:hAnsi="Times New Roman"/>
          <w:sz w:val="28"/>
          <w:szCs w:val="28"/>
        </w:rPr>
        <w:t xml:space="preserve"> </w:t>
      </w:r>
      <w:r w:rsidR="007D7325" w:rsidRPr="00A87953">
        <w:rPr>
          <w:rFonts w:ascii="Times New Roman" w:hAnsi="Times New Roman"/>
          <w:sz w:val="28"/>
          <w:szCs w:val="28"/>
        </w:rPr>
        <w:t>The authority has not been applied in Australia and is said to rest on "uncertain foundation"</w:t>
      </w:r>
      <w:r w:rsidR="007D7325" w:rsidRPr="00A87953">
        <w:rPr>
          <w:rStyle w:val="FootnoteReference"/>
          <w:rFonts w:ascii="Times New Roman" w:hAnsi="Times New Roman"/>
          <w:sz w:val="28"/>
          <w:szCs w:val="28"/>
        </w:rPr>
        <w:footnoteReference w:id="24"/>
      </w:r>
      <w:r w:rsidR="005661EF" w:rsidRPr="00A87953">
        <w:rPr>
          <w:rFonts w:ascii="Times New Roman" w:hAnsi="Times New Roman"/>
          <w:sz w:val="28"/>
          <w:szCs w:val="28"/>
        </w:rPr>
        <w:t>.</w:t>
      </w:r>
    </w:p>
    <w:p w:rsidR="001808B9" w:rsidRPr="00A87953" w:rsidRDefault="001808B9" w:rsidP="00817310">
      <w:pPr>
        <w:jc w:val="both"/>
        <w:rPr>
          <w:rFonts w:ascii="Times New Roman" w:hAnsi="Times New Roman"/>
          <w:sz w:val="28"/>
          <w:szCs w:val="28"/>
        </w:rPr>
      </w:pPr>
      <w:r w:rsidRPr="00A87953">
        <w:rPr>
          <w:rFonts w:ascii="Times New Roman" w:hAnsi="Times New Roman"/>
          <w:b/>
          <w:bCs/>
          <w:sz w:val="28"/>
          <w:szCs w:val="28"/>
        </w:rPr>
        <w:lastRenderedPageBreak/>
        <w:t>Application of principle</w:t>
      </w:r>
    </w:p>
    <w:p w:rsidR="001808B9" w:rsidRPr="00A87953" w:rsidRDefault="00E4607E" w:rsidP="00817310">
      <w:pPr>
        <w:tabs>
          <w:tab w:val="num" w:pos="720"/>
        </w:tabs>
        <w:jc w:val="both"/>
        <w:rPr>
          <w:rFonts w:ascii="Times New Roman" w:hAnsi="Times New Roman"/>
          <w:sz w:val="28"/>
          <w:szCs w:val="28"/>
        </w:rPr>
      </w:pPr>
      <w:r w:rsidRPr="00A87953">
        <w:rPr>
          <w:rFonts w:ascii="Times New Roman" w:hAnsi="Times New Roman"/>
          <w:sz w:val="28"/>
          <w:szCs w:val="28"/>
        </w:rPr>
        <w:tab/>
      </w:r>
      <w:r w:rsidR="001808B9" w:rsidRPr="00A87953">
        <w:rPr>
          <w:rFonts w:ascii="Times New Roman" w:hAnsi="Times New Roman"/>
          <w:sz w:val="28"/>
          <w:szCs w:val="28"/>
        </w:rPr>
        <w:t>You will now be alive, I hope, to the prospect of when an issue estoppel may arise.</w:t>
      </w:r>
      <w:r w:rsidR="00B73F33">
        <w:rPr>
          <w:rFonts w:ascii="Times New Roman" w:hAnsi="Times New Roman"/>
          <w:sz w:val="28"/>
          <w:szCs w:val="28"/>
        </w:rPr>
        <w:t xml:space="preserve"> </w:t>
      </w:r>
      <w:r w:rsidR="001808B9" w:rsidRPr="00A87953">
        <w:rPr>
          <w:rFonts w:ascii="Times New Roman" w:hAnsi="Times New Roman"/>
          <w:sz w:val="28"/>
          <w:szCs w:val="28"/>
        </w:rPr>
        <w:t>I do however want to mention a couple of sp</w:t>
      </w:r>
      <w:r w:rsidR="0094766D" w:rsidRPr="00A87953">
        <w:rPr>
          <w:rFonts w:ascii="Times New Roman" w:hAnsi="Times New Roman"/>
          <w:sz w:val="28"/>
          <w:szCs w:val="28"/>
        </w:rPr>
        <w:t>ecific examples.</w:t>
      </w:r>
    </w:p>
    <w:p w:rsidR="001808B9" w:rsidRPr="00A87953" w:rsidRDefault="00E4607E" w:rsidP="00817310">
      <w:pPr>
        <w:tabs>
          <w:tab w:val="num" w:pos="720"/>
        </w:tabs>
        <w:jc w:val="both"/>
        <w:rPr>
          <w:rFonts w:ascii="Times New Roman" w:hAnsi="Times New Roman"/>
          <w:iCs/>
          <w:sz w:val="28"/>
          <w:szCs w:val="28"/>
        </w:rPr>
      </w:pPr>
      <w:r w:rsidRPr="00A87953">
        <w:rPr>
          <w:rFonts w:ascii="Times New Roman" w:hAnsi="Times New Roman"/>
          <w:iCs/>
          <w:sz w:val="28"/>
          <w:szCs w:val="28"/>
          <w:lang w:val="en"/>
        </w:rPr>
        <w:tab/>
      </w:r>
      <w:r w:rsidR="001808B9" w:rsidRPr="00A87953">
        <w:rPr>
          <w:rFonts w:ascii="Times New Roman" w:hAnsi="Times New Roman"/>
          <w:iCs/>
          <w:sz w:val="28"/>
          <w:szCs w:val="28"/>
          <w:lang w:val="en"/>
        </w:rPr>
        <w:t>A commonly cited example of issue estoppel arises in proceedings arising from a motor vehicle accident.</w:t>
      </w:r>
      <w:r w:rsidR="00B73F33">
        <w:rPr>
          <w:rFonts w:ascii="Times New Roman" w:hAnsi="Times New Roman"/>
          <w:iCs/>
          <w:sz w:val="28"/>
          <w:szCs w:val="28"/>
          <w:lang w:val="en"/>
        </w:rPr>
        <w:t xml:space="preserve"> </w:t>
      </w:r>
      <w:r w:rsidR="001808B9" w:rsidRPr="00A87953">
        <w:rPr>
          <w:rFonts w:ascii="Times New Roman" w:hAnsi="Times New Roman"/>
          <w:iCs/>
          <w:sz w:val="28"/>
          <w:szCs w:val="28"/>
        </w:rPr>
        <w:t>The same negligent act causing both property damage and personal injury gives rise to two separate causes of action.</w:t>
      </w:r>
      <w:r w:rsidR="00B73F33">
        <w:rPr>
          <w:rFonts w:ascii="Times New Roman" w:hAnsi="Times New Roman"/>
          <w:iCs/>
          <w:sz w:val="28"/>
          <w:szCs w:val="28"/>
        </w:rPr>
        <w:t xml:space="preserve"> </w:t>
      </w:r>
      <w:r w:rsidR="00331319" w:rsidRPr="00A87953">
        <w:rPr>
          <w:rFonts w:ascii="Times New Roman" w:hAnsi="Times New Roman"/>
          <w:iCs/>
          <w:sz w:val="28"/>
          <w:szCs w:val="28"/>
        </w:rPr>
        <w:t>However the preponderance of authority is that a</w:t>
      </w:r>
      <w:r w:rsidR="001808B9" w:rsidRPr="00A87953">
        <w:rPr>
          <w:rFonts w:ascii="Times New Roman" w:hAnsi="Times New Roman"/>
          <w:iCs/>
          <w:sz w:val="28"/>
          <w:szCs w:val="28"/>
          <w:lang w:val="en"/>
        </w:rPr>
        <w:t xml:space="preserve"> decision that one driver has breached the duty of care owed to another driver in an action </w:t>
      </w:r>
      <w:r w:rsidR="009E3A1A" w:rsidRPr="00A87953">
        <w:rPr>
          <w:rFonts w:ascii="Times New Roman" w:hAnsi="Times New Roman"/>
          <w:iCs/>
          <w:sz w:val="28"/>
          <w:szCs w:val="28"/>
          <w:lang w:val="en"/>
        </w:rPr>
        <w:t xml:space="preserve">for property damage </w:t>
      </w:r>
      <w:r w:rsidR="001808B9" w:rsidRPr="00A87953">
        <w:rPr>
          <w:rFonts w:ascii="Times New Roman" w:hAnsi="Times New Roman"/>
          <w:iCs/>
          <w:sz w:val="28"/>
          <w:szCs w:val="28"/>
          <w:lang w:val="en"/>
        </w:rPr>
        <w:t>creates an issue estoppel in a subsequent action between them for damages for personal injur</w:t>
      </w:r>
      <w:r w:rsidR="00331319" w:rsidRPr="00A87953">
        <w:rPr>
          <w:rFonts w:ascii="Times New Roman" w:hAnsi="Times New Roman"/>
          <w:iCs/>
          <w:sz w:val="28"/>
          <w:szCs w:val="28"/>
          <w:lang w:val="en"/>
        </w:rPr>
        <w:t xml:space="preserve">y suffered in the same incident, and </w:t>
      </w:r>
      <w:r w:rsidR="00331319" w:rsidRPr="00A87953">
        <w:rPr>
          <w:rFonts w:ascii="Times New Roman" w:hAnsi="Times New Roman"/>
          <w:i/>
          <w:iCs/>
          <w:sz w:val="28"/>
          <w:szCs w:val="28"/>
          <w:lang w:val="en"/>
        </w:rPr>
        <w:t>vice versa</w:t>
      </w:r>
      <w:r w:rsidR="001808B9" w:rsidRPr="00A87953">
        <w:rPr>
          <w:rFonts w:ascii="Times New Roman" w:hAnsi="Times New Roman"/>
          <w:iCs/>
          <w:sz w:val="28"/>
          <w:szCs w:val="28"/>
          <w:lang w:val="en"/>
        </w:rPr>
        <w:t>.</w:t>
      </w:r>
      <w:r w:rsidR="001808B9" w:rsidRPr="00A87953">
        <w:rPr>
          <w:rFonts w:ascii="Times New Roman" w:hAnsi="Times New Roman"/>
          <w:iCs/>
          <w:sz w:val="28"/>
          <w:szCs w:val="28"/>
          <w:vertAlign w:val="superscript"/>
          <w:lang w:val="en"/>
        </w:rPr>
        <w:footnoteReference w:id="25"/>
      </w:r>
      <w:r w:rsidR="00B73F33">
        <w:rPr>
          <w:rFonts w:ascii="Times New Roman" w:hAnsi="Times New Roman"/>
          <w:iCs/>
          <w:sz w:val="28"/>
          <w:szCs w:val="28"/>
          <w:lang w:val="en"/>
        </w:rPr>
        <w:t xml:space="preserve"> </w:t>
      </w:r>
      <w:r w:rsidR="001808B9" w:rsidRPr="00A87953">
        <w:rPr>
          <w:rFonts w:ascii="Times New Roman" w:hAnsi="Times New Roman"/>
          <w:iCs/>
          <w:sz w:val="28"/>
          <w:szCs w:val="28"/>
          <w:lang w:val="en"/>
        </w:rPr>
        <w:t>This will apply to d</w:t>
      </w:r>
      <w:r w:rsidR="00817310">
        <w:rPr>
          <w:rFonts w:ascii="Times New Roman" w:hAnsi="Times New Roman"/>
          <w:iCs/>
          <w:sz w:val="28"/>
          <w:szCs w:val="28"/>
          <w:lang w:val="en"/>
        </w:rPr>
        <w:t>ecisions made by the Magistrate</w:t>
      </w:r>
      <w:r w:rsidR="001808B9" w:rsidRPr="00A87953">
        <w:rPr>
          <w:rFonts w:ascii="Times New Roman" w:hAnsi="Times New Roman"/>
          <w:iCs/>
          <w:sz w:val="28"/>
          <w:szCs w:val="28"/>
          <w:lang w:val="en"/>
        </w:rPr>
        <w:t xml:space="preserve">s Court under the </w:t>
      </w:r>
      <w:r w:rsidR="001808B9" w:rsidRPr="00817310">
        <w:rPr>
          <w:rFonts w:ascii="Times New Roman" w:hAnsi="Times New Roman"/>
          <w:bCs/>
          <w:i/>
          <w:iCs/>
          <w:sz w:val="28"/>
          <w:szCs w:val="28"/>
        </w:rPr>
        <w:t>Magistrates Court (Civil Division) Act</w:t>
      </w:r>
      <w:r w:rsidR="001808B9" w:rsidRPr="00A87953">
        <w:rPr>
          <w:rFonts w:ascii="Times New Roman" w:hAnsi="Times New Roman"/>
          <w:bCs/>
          <w:iCs/>
          <w:sz w:val="28"/>
          <w:szCs w:val="28"/>
        </w:rPr>
        <w:t xml:space="preserve"> 1992</w:t>
      </w:r>
      <w:r w:rsidR="007B1EC8" w:rsidRPr="00A87953">
        <w:rPr>
          <w:rFonts w:ascii="Times New Roman" w:hAnsi="Times New Roman"/>
          <w:bCs/>
          <w:iCs/>
          <w:sz w:val="28"/>
          <w:szCs w:val="28"/>
        </w:rPr>
        <w:t>.</w:t>
      </w:r>
      <w:r w:rsidR="00B73F33">
        <w:rPr>
          <w:rFonts w:ascii="Times New Roman" w:hAnsi="Times New Roman"/>
          <w:bCs/>
          <w:iCs/>
          <w:sz w:val="28"/>
          <w:szCs w:val="28"/>
        </w:rPr>
        <w:t xml:space="preserve"> </w:t>
      </w:r>
      <w:r w:rsidR="007B1EC8" w:rsidRPr="00A87953">
        <w:rPr>
          <w:rFonts w:ascii="Times New Roman" w:hAnsi="Times New Roman"/>
          <w:bCs/>
          <w:iCs/>
          <w:sz w:val="28"/>
          <w:szCs w:val="28"/>
        </w:rPr>
        <w:t>The Magistrates Court has jurisdiction to determine actions for both property damage and personal injury.</w:t>
      </w:r>
      <w:r w:rsidR="00B73F33">
        <w:rPr>
          <w:rFonts w:ascii="Times New Roman" w:hAnsi="Times New Roman"/>
          <w:bCs/>
          <w:iCs/>
          <w:sz w:val="28"/>
          <w:szCs w:val="28"/>
        </w:rPr>
        <w:t xml:space="preserve"> </w:t>
      </w:r>
      <w:r w:rsidR="007B1EC8" w:rsidRPr="00A87953">
        <w:rPr>
          <w:rFonts w:ascii="Times New Roman" w:hAnsi="Times New Roman"/>
          <w:bCs/>
          <w:iCs/>
          <w:sz w:val="28"/>
          <w:szCs w:val="28"/>
        </w:rPr>
        <w:t>Most often it deals with claims for property damage.</w:t>
      </w:r>
      <w:r w:rsidR="00B73F33">
        <w:rPr>
          <w:rFonts w:ascii="Times New Roman" w:hAnsi="Times New Roman"/>
          <w:bCs/>
          <w:iCs/>
          <w:sz w:val="28"/>
          <w:szCs w:val="28"/>
        </w:rPr>
        <w:t xml:space="preserve"> </w:t>
      </w:r>
      <w:r w:rsidR="007B1EC8" w:rsidRPr="00A87953">
        <w:rPr>
          <w:rFonts w:ascii="Times New Roman" w:hAnsi="Times New Roman"/>
          <w:bCs/>
          <w:iCs/>
          <w:sz w:val="28"/>
          <w:szCs w:val="28"/>
        </w:rPr>
        <w:t>Such claims</w:t>
      </w:r>
      <w:r w:rsidR="001808B9" w:rsidRPr="00A87953">
        <w:rPr>
          <w:rFonts w:ascii="Times New Roman" w:hAnsi="Times New Roman"/>
          <w:bCs/>
          <w:iCs/>
          <w:sz w:val="28"/>
          <w:szCs w:val="28"/>
        </w:rPr>
        <w:t xml:space="preserve"> </w:t>
      </w:r>
      <w:r w:rsidR="007B1EC8" w:rsidRPr="00A87953">
        <w:rPr>
          <w:rFonts w:ascii="Times New Roman" w:hAnsi="Times New Roman"/>
          <w:bCs/>
          <w:iCs/>
          <w:sz w:val="28"/>
          <w:szCs w:val="28"/>
        </w:rPr>
        <w:t xml:space="preserve">involve determination of </w:t>
      </w:r>
      <w:r w:rsidR="001808B9" w:rsidRPr="00A87953">
        <w:rPr>
          <w:rFonts w:ascii="Times New Roman" w:hAnsi="Times New Roman"/>
          <w:bCs/>
          <w:iCs/>
          <w:sz w:val="28"/>
          <w:szCs w:val="28"/>
        </w:rPr>
        <w:t>responsibility for a collision, including any issue of apportionment and contributory negligence</w:t>
      </w:r>
      <w:r w:rsidR="00331319" w:rsidRPr="00A87953">
        <w:rPr>
          <w:rFonts w:ascii="Times New Roman" w:hAnsi="Times New Roman"/>
          <w:bCs/>
          <w:iCs/>
          <w:sz w:val="28"/>
          <w:szCs w:val="28"/>
        </w:rPr>
        <w:t>, including those brought by an insurer under a right of subrogation</w:t>
      </w:r>
      <w:r w:rsidR="001808B9" w:rsidRPr="00A87953">
        <w:rPr>
          <w:rFonts w:ascii="Times New Roman" w:hAnsi="Times New Roman"/>
          <w:bCs/>
          <w:iCs/>
          <w:sz w:val="28"/>
          <w:szCs w:val="28"/>
        </w:rPr>
        <w:t>.</w:t>
      </w:r>
      <w:r w:rsidR="00B73F33">
        <w:rPr>
          <w:rFonts w:ascii="Times New Roman" w:hAnsi="Times New Roman"/>
          <w:bCs/>
          <w:iCs/>
          <w:sz w:val="28"/>
          <w:szCs w:val="28"/>
        </w:rPr>
        <w:t xml:space="preserve"> </w:t>
      </w:r>
      <w:r w:rsidR="007B1EC8" w:rsidRPr="00A87953">
        <w:rPr>
          <w:rFonts w:ascii="Times New Roman" w:hAnsi="Times New Roman"/>
          <w:bCs/>
          <w:iCs/>
          <w:sz w:val="28"/>
          <w:szCs w:val="28"/>
        </w:rPr>
        <w:t>It is very likely to give rise to an issue estoppel in respect to an action for damages for personal injury, often involving a much greater amount, arising from the same collision.</w:t>
      </w:r>
      <w:r w:rsidR="00B73F33">
        <w:rPr>
          <w:rFonts w:ascii="Times New Roman" w:hAnsi="Times New Roman"/>
          <w:bCs/>
          <w:iCs/>
          <w:sz w:val="28"/>
          <w:szCs w:val="28"/>
        </w:rPr>
        <w:t xml:space="preserve"> </w:t>
      </w:r>
      <w:r w:rsidR="001808B9" w:rsidRPr="00A87953">
        <w:rPr>
          <w:rFonts w:ascii="Times New Roman" w:hAnsi="Times New Roman"/>
          <w:bCs/>
          <w:iCs/>
          <w:sz w:val="28"/>
          <w:szCs w:val="28"/>
        </w:rPr>
        <w:t>It will not, it seems, extend to decisions made on a Minor Civil Claim</w:t>
      </w:r>
      <w:r w:rsidR="001808B9" w:rsidRPr="00A87953">
        <w:rPr>
          <w:rFonts w:ascii="Times New Roman" w:hAnsi="Times New Roman"/>
          <w:bCs/>
          <w:iCs/>
          <w:sz w:val="28"/>
          <w:szCs w:val="28"/>
          <w:vertAlign w:val="superscript"/>
        </w:rPr>
        <w:footnoteReference w:id="26"/>
      </w:r>
      <w:r w:rsidR="001808B9" w:rsidRPr="00A87953">
        <w:rPr>
          <w:rFonts w:ascii="Times New Roman" w:hAnsi="Times New Roman"/>
          <w:bCs/>
          <w:iCs/>
          <w:sz w:val="28"/>
          <w:szCs w:val="28"/>
        </w:rPr>
        <w:t>.</w:t>
      </w:r>
      <w:r w:rsidR="00B73F33">
        <w:rPr>
          <w:rFonts w:ascii="Times New Roman" w:hAnsi="Times New Roman"/>
          <w:bCs/>
          <w:iCs/>
          <w:sz w:val="28"/>
          <w:szCs w:val="28"/>
        </w:rPr>
        <w:t xml:space="preserve"> </w:t>
      </w:r>
      <w:r w:rsidR="001808B9" w:rsidRPr="00A87953">
        <w:rPr>
          <w:rFonts w:ascii="Times New Roman" w:hAnsi="Times New Roman"/>
          <w:bCs/>
          <w:iCs/>
          <w:sz w:val="28"/>
          <w:szCs w:val="28"/>
        </w:rPr>
        <w:t xml:space="preserve">That is because the legislation </w:t>
      </w:r>
      <w:r w:rsidR="001808B9" w:rsidRPr="00A87953">
        <w:rPr>
          <w:rFonts w:ascii="Times New Roman" w:hAnsi="Times New Roman"/>
          <w:iCs/>
          <w:sz w:val="28"/>
          <w:szCs w:val="28"/>
          <w:lang w:val="en"/>
        </w:rPr>
        <w:t>provides that "</w:t>
      </w:r>
      <w:r w:rsidR="001808B9" w:rsidRPr="00A87953">
        <w:rPr>
          <w:rFonts w:ascii="Times New Roman" w:hAnsi="Times New Roman"/>
          <w:iCs/>
          <w:sz w:val="28"/>
          <w:szCs w:val="28"/>
        </w:rPr>
        <w:t>The determination of an issue in a minor civil claim does not prevent the parties from again litigating the same issue in different proceedings based on a different claim."</w:t>
      </w:r>
      <w:r w:rsidR="001808B9" w:rsidRPr="00A87953">
        <w:rPr>
          <w:rFonts w:ascii="Times New Roman" w:hAnsi="Times New Roman"/>
          <w:iCs/>
          <w:sz w:val="28"/>
          <w:szCs w:val="28"/>
          <w:vertAlign w:val="superscript"/>
        </w:rPr>
        <w:footnoteReference w:id="27"/>
      </w:r>
      <w:r w:rsidR="00B73F33">
        <w:rPr>
          <w:rFonts w:ascii="Times New Roman" w:hAnsi="Times New Roman"/>
          <w:iCs/>
          <w:sz w:val="28"/>
          <w:szCs w:val="28"/>
        </w:rPr>
        <w:t xml:space="preserve"> </w:t>
      </w:r>
      <w:r w:rsidR="001808B9" w:rsidRPr="00A87953">
        <w:rPr>
          <w:rFonts w:ascii="Times New Roman" w:hAnsi="Times New Roman"/>
          <w:iCs/>
          <w:sz w:val="28"/>
          <w:szCs w:val="28"/>
        </w:rPr>
        <w:t>The meaning of the words "based on a different claim" are a little unclear to me, but seem to be intended to cover the difference between a claim for property damage and a claim for personal injury.</w:t>
      </w:r>
      <w:r w:rsidR="00B73F33">
        <w:rPr>
          <w:rFonts w:ascii="Times New Roman" w:hAnsi="Times New Roman"/>
          <w:iCs/>
          <w:sz w:val="28"/>
          <w:szCs w:val="28"/>
        </w:rPr>
        <w:t xml:space="preserve"> </w:t>
      </w:r>
      <w:r w:rsidR="001808B9" w:rsidRPr="00A87953">
        <w:rPr>
          <w:rFonts w:ascii="Times New Roman" w:hAnsi="Times New Roman"/>
          <w:iCs/>
          <w:sz w:val="28"/>
          <w:szCs w:val="28"/>
        </w:rPr>
        <w:t>How they apply in other circumstances is to be determined.</w:t>
      </w:r>
    </w:p>
    <w:p w:rsidR="00520215" w:rsidRPr="00A87953" w:rsidRDefault="00E4607E" w:rsidP="00817310">
      <w:pPr>
        <w:tabs>
          <w:tab w:val="num" w:pos="720"/>
        </w:tabs>
        <w:jc w:val="both"/>
        <w:rPr>
          <w:rFonts w:ascii="Times New Roman" w:hAnsi="Times New Roman"/>
          <w:bCs/>
          <w:sz w:val="28"/>
          <w:szCs w:val="28"/>
        </w:rPr>
      </w:pPr>
      <w:r w:rsidRPr="00A87953">
        <w:rPr>
          <w:rFonts w:ascii="Times New Roman" w:hAnsi="Times New Roman"/>
          <w:sz w:val="28"/>
          <w:szCs w:val="28"/>
        </w:rPr>
        <w:lastRenderedPageBreak/>
        <w:tab/>
      </w:r>
      <w:r w:rsidR="00CD5820" w:rsidRPr="00A87953">
        <w:rPr>
          <w:rFonts w:ascii="Times New Roman" w:hAnsi="Times New Roman"/>
          <w:sz w:val="28"/>
          <w:szCs w:val="28"/>
        </w:rPr>
        <w:t>One</w:t>
      </w:r>
      <w:r w:rsidR="00520215" w:rsidRPr="00A87953">
        <w:rPr>
          <w:rFonts w:ascii="Times New Roman" w:hAnsi="Times New Roman"/>
          <w:sz w:val="28"/>
          <w:szCs w:val="28"/>
        </w:rPr>
        <w:t xml:space="preserve"> </w:t>
      </w:r>
      <w:r w:rsidR="007F3358" w:rsidRPr="00A87953">
        <w:rPr>
          <w:rFonts w:ascii="Times New Roman" w:hAnsi="Times New Roman"/>
          <w:sz w:val="28"/>
          <w:szCs w:val="28"/>
        </w:rPr>
        <w:t xml:space="preserve">particular </w:t>
      </w:r>
      <w:r w:rsidR="00520215" w:rsidRPr="00A87953">
        <w:rPr>
          <w:rFonts w:ascii="Times New Roman" w:hAnsi="Times New Roman"/>
          <w:sz w:val="28"/>
          <w:szCs w:val="28"/>
        </w:rPr>
        <w:t xml:space="preserve">situation I have been asked to address is the </w:t>
      </w:r>
      <w:r w:rsidR="00520215" w:rsidRPr="00A87953">
        <w:rPr>
          <w:rFonts w:ascii="Times New Roman" w:hAnsi="Times New Roman"/>
          <w:bCs/>
          <w:i/>
          <w:sz w:val="28"/>
          <w:szCs w:val="28"/>
        </w:rPr>
        <w:t xml:space="preserve">Motor Accidents (Liabilities and Compensation) Act </w:t>
      </w:r>
      <w:r w:rsidR="00520215" w:rsidRPr="00A87953">
        <w:rPr>
          <w:rFonts w:ascii="Times New Roman" w:hAnsi="Times New Roman"/>
          <w:bCs/>
          <w:sz w:val="28"/>
          <w:szCs w:val="28"/>
        </w:rPr>
        <w:t>1973, under which the Motor Accidents Compensation Tribunal is established</w:t>
      </w:r>
      <w:r w:rsidR="00520215" w:rsidRPr="00A87953">
        <w:rPr>
          <w:rFonts w:ascii="Times New Roman" w:hAnsi="Times New Roman"/>
          <w:bCs/>
          <w:sz w:val="28"/>
          <w:szCs w:val="28"/>
          <w:vertAlign w:val="superscript"/>
        </w:rPr>
        <w:footnoteReference w:id="28"/>
      </w:r>
      <w:r w:rsidR="00520215" w:rsidRPr="00A87953">
        <w:rPr>
          <w:rFonts w:ascii="Times New Roman" w:hAnsi="Times New Roman"/>
          <w:bCs/>
          <w:sz w:val="28"/>
          <w:szCs w:val="28"/>
        </w:rPr>
        <w:t>.</w:t>
      </w:r>
      <w:r w:rsidR="00B73F33">
        <w:rPr>
          <w:rFonts w:ascii="Times New Roman" w:hAnsi="Times New Roman"/>
          <w:bCs/>
          <w:sz w:val="28"/>
          <w:szCs w:val="28"/>
        </w:rPr>
        <w:t xml:space="preserve"> </w:t>
      </w:r>
      <w:r w:rsidR="00520215" w:rsidRPr="00A87953">
        <w:rPr>
          <w:rFonts w:ascii="Times New Roman" w:hAnsi="Times New Roman"/>
          <w:bCs/>
          <w:sz w:val="28"/>
          <w:szCs w:val="28"/>
        </w:rPr>
        <w:t xml:space="preserve">The Tribunal has power to determine a referral from a decision of the MAIB, including whether or not a person is to be treated as a person within a class of persons to </w:t>
      </w:r>
      <w:r w:rsidR="00B9309C" w:rsidRPr="00A87953">
        <w:rPr>
          <w:rFonts w:ascii="Times New Roman" w:hAnsi="Times New Roman"/>
          <w:bCs/>
          <w:sz w:val="28"/>
          <w:szCs w:val="28"/>
        </w:rPr>
        <w:t>who</w:t>
      </w:r>
      <w:r w:rsidR="00A21CCE">
        <w:rPr>
          <w:rFonts w:ascii="Times New Roman" w:hAnsi="Times New Roman"/>
          <w:bCs/>
          <w:sz w:val="28"/>
          <w:szCs w:val="28"/>
        </w:rPr>
        <w:t>m</w:t>
      </w:r>
      <w:r w:rsidR="00520215" w:rsidRPr="00A87953">
        <w:rPr>
          <w:rFonts w:ascii="Times New Roman" w:hAnsi="Times New Roman"/>
          <w:bCs/>
          <w:sz w:val="28"/>
          <w:szCs w:val="28"/>
        </w:rPr>
        <w:t xml:space="preserve"> scheduled benefits may be paid and</w:t>
      </w:r>
      <w:bookmarkStart w:id="1" w:name="GS28@Gs1@Hpb@EN"/>
      <w:bookmarkEnd w:id="1"/>
      <w:r w:rsidR="00520215" w:rsidRPr="00A87953">
        <w:rPr>
          <w:rFonts w:ascii="Times New Roman" w:hAnsi="Times New Roman"/>
          <w:bCs/>
          <w:sz w:val="28"/>
          <w:szCs w:val="28"/>
        </w:rPr>
        <w:t xml:space="preserve"> the right of a person to be paid any scheduled benefit</w:t>
      </w:r>
      <w:r w:rsidR="00520215" w:rsidRPr="00A87953">
        <w:rPr>
          <w:rFonts w:ascii="Times New Roman" w:hAnsi="Times New Roman"/>
          <w:bCs/>
          <w:sz w:val="28"/>
          <w:szCs w:val="28"/>
          <w:vertAlign w:val="superscript"/>
        </w:rPr>
        <w:footnoteReference w:id="29"/>
      </w:r>
      <w:r w:rsidR="00520215" w:rsidRPr="00A87953">
        <w:rPr>
          <w:rFonts w:ascii="Times New Roman" w:hAnsi="Times New Roman"/>
          <w:bCs/>
          <w:sz w:val="28"/>
          <w:szCs w:val="28"/>
        </w:rPr>
        <w:t>.</w:t>
      </w:r>
      <w:r w:rsidR="00B73F33">
        <w:rPr>
          <w:rFonts w:ascii="Times New Roman" w:hAnsi="Times New Roman"/>
          <w:bCs/>
          <w:sz w:val="28"/>
          <w:szCs w:val="28"/>
        </w:rPr>
        <w:t xml:space="preserve"> </w:t>
      </w:r>
      <w:r w:rsidR="00E85EB4" w:rsidRPr="00A87953">
        <w:rPr>
          <w:rFonts w:ascii="Times New Roman" w:hAnsi="Times New Roman"/>
          <w:bCs/>
          <w:sz w:val="28"/>
          <w:szCs w:val="28"/>
        </w:rPr>
        <w:t xml:space="preserve">Benefits are payable to those who suffer </w:t>
      </w:r>
      <w:r w:rsidR="00520215" w:rsidRPr="00A87953">
        <w:rPr>
          <w:rFonts w:ascii="Times New Roman" w:hAnsi="Times New Roman"/>
          <w:bCs/>
          <w:sz w:val="28"/>
          <w:szCs w:val="28"/>
        </w:rPr>
        <w:t>personal injury resulting directly from a motor accident.</w:t>
      </w:r>
      <w:r w:rsidR="00B73F33">
        <w:rPr>
          <w:rFonts w:ascii="Times New Roman" w:hAnsi="Times New Roman"/>
          <w:bCs/>
          <w:sz w:val="28"/>
          <w:szCs w:val="28"/>
        </w:rPr>
        <w:t xml:space="preserve"> </w:t>
      </w:r>
      <w:r w:rsidR="00E85EB4" w:rsidRPr="00A87953">
        <w:rPr>
          <w:rFonts w:ascii="Times New Roman" w:hAnsi="Times New Roman"/>
          <w:bCs/>
          <w:sz w:val="28"/>
          <w:szCs w:val="28"/>
        </w:rPr>
        <w:t xml:space="preserve">Thus, the Tribunal may be called upon to determine whether </w:t>
      </w:r>
      <w:r w:rsidR="00520215" w:rsidRPr="00A87953">
        <w:rPr>
          <w:rFonts w:ascii="Times New Roman" w:hAnsi="Times New Roman"/>
          <w:bCs/>
          <w:sz w:val="28"/>
          <w:szCs w:val="28"/>
        </w:rPr>
        <w:t>there has been a motor accident, whether there has been a</w:t>
      </w:r>
      <w:r w:rsidR="00E85EB4" w:rsidRPr="00A87953">
        <w:rPr>
          <w:rFonts w:ascii="Times New Roman" w:hAnsi="Times New Roman"/>
          <w:bCs/>
          <w:sz w:val="28"/>
          <w:szCs w:val="28"/>
        </w:rPr>
        <w:t xml:space="preserve"> personal</w:t>
      </w:r>
      <w:r w:rsidR="00520215" w:rsidRPr="00A87953">
        <w:rPr>
          <w:rFonts w:ascii="Times New Roman" w:hAnsi="Times New Roman"/>
          <w:bCs/>
          <w:sz w:val="28"/>
          <w:szCs w:val="28"/>
        </w:rPr>
        <w:t xml:space="preserve"> injury and whether the injury results directly from the accident</w:t>
      </w:r>
      <w:r w:rsidR="00520215" w:rsidRPr="00A87953">
        <w:rPr>
          <w:rFonts w:ascii="Times New Roman" w:hAnsi="Times New Roman"/>
          <w:bCs/>
          <w:sz w:val="28"/>
          <w:szCs w:val="28"/>
          <w:vertAlign w:val="superscript"/>
        </w:rPr>
        <w:footnoteReference w:id="30"/>
      </w:r>
      <w:r w:rsidR="00520215" w:rsidRPr="00A87953">
        <w:rPr>
          <w:rFonts w:ascii="Times New Roman" w:hAnsi="Times New Roman"/>
          <w:bCs/>
          <w:sz w:val="28"/>
          <w:szCs w:val="28"/>
        </w:rPr>
        <w:t>.</w:t>
      </w:r>
      <w:r w:rsidR="00B73F33">
        <w:rPr>
          <w:rFonts w:ascii="Times New Roman" w:hAnsi="Times New Roman"/>
          <w:bCs/>
          <w:sz w:val="28"/>
          <w:szCs w:val="28"/>
        </w:rPr>
        <w:t xml:space="preserve"> </w:t>
      </w:r>
      <w:r w:rsidR="00520215" w:rsidRPr="00A87953">
        <w:rPr>
          <w:rFonts w:ascii="Times New Roman" w:hAnsi="Times New Roman"/>
          <w:bCs/>
          <w:sz w:val="28"/>
          <w:szCs w:val="28"/>
        </w:rPr>
        <w:t xml:space="preserve">None of those questions involve a determination of liability in tort, but of course tort liability </w:t>
      </w:r>
      <w:r w:rsidR="00E85EB4" w:rsidRPr="00A87953">
        <w:rPr>
          <w:rFonts w:ascii="Times New Roman" w:hAnsi="Times New Roman"/>
          <w:bCs/>
          <w:sz w:val="28"/>
          <w:szCs w:val="28"/>
        </w:rPr>
        <w:t xml:space="preserve">necessarily </w:t>
      </w:r>
      <w:r w:rsidR="00520215" w:rsidRPr="00A87953">
        <w:rPr>
          <w:rFonts w:ascii="Times New Roman" w:hAnsi="Times New Roman"/>
          <w:bCs/>
          <w:sz w:val="28"/>
          <w:szCs w:val="28"/>
        </w:rPr>
        <w:t>involves questions of causation and injury.</w:t>
      </w:r>
      <w:r w:rsidR="00B73F33">
        <w:rPr>
          <w:rFonts w:ascii="Times New Roman" w:hAnsi="Times New Roman"/>
          <w:bCs/>
          <w:sz w:val="28"/>
          <w:szCs w:val="28"/>
        </w:rPr>
        <w:t xml:space="preserve"> </w:t>
      </w:r>
      <w:r w:rsidR="00520215" w:rsidRPr="00A87953">
        <w:rPr>
          <w:rFonts w:ascii="Times New Roman" w:hAnsi="Times New Roman"/>
          <w:bCs/>
          <w:sz w:val="28"/>
          <w:szCs w:val="28"/>
        </w:rPr>
        <w:t>Subject to the principles I have outlined, a determination of the Tribunal is a potential source of issue estoppel.</w:t>
      </w:r>
      <w:r w:rsidR="00B73F33">
        <w:rPr>
          <w:rFonts w:ascii="Times New Roman" w:hAnsi="Times New Roman"/>
          <w:bCs/>
          <w:sz w:val="28"/>
          <w:szCs w:val="28"/>
        </w:rPr>
        <w:t xml:space="preserve"> </w:t>
      </w:r>
      <w:r w:rsidR="00520215" w:rsidRPr="00A87953">
        <w:rPr>
          <w:rFonts w:ascii="Times New Roman" w:hAnsi="Times New Roman"/>
          <w:bCs/>
          <w:sz w:val="28"/>
          <w:szCs w:val="28"/>
        </w:rPr>
        <w:t>I can find no statutory modification of that principle although those who work intimately in this area may be aware of something that I am not.</w:t>
      </w:r>
    </w:p>
    <w:p w:rsidR="001808B9" w:rsidRPr="00A87953" w:rsidRDefault="00E4607E" w:rsidP="00817310">
      <w:pPr>
        <w:tabs>
          <w:tab w:val="num" w:pos="720"/>
        </w:tabs>
        <w:jc w:val="both"/>
        <w:rPr>
          <w:rFonts w:ascii="Times New Roman" w:hAnsi="Times New Roman"/>
          <w:sz w:val="28"/>
          <w:szCs w:val="28"/>
        </w:rPr>
      </w:pPr>
      <w:r w:rsidRPr="00A87953">
        <w:rPr>
          <w:rFonts w:ascii="Times New Roman" w:hAnsi="Times New Roman"/>
          <w:sz w:val="28"/>
          <w:szCs w:val="28"/>
        </w:rPr>
        <w:tab/>
      </w:r>
      <w:r w:rsidR="00CD5820" w:rsidRPr="00A87953">
        <w:rPr>
          <w:rFonts w:ascii="Times New Roman" w:hAnsi="Times New Roman"/>
          <w:sz w:val="28"/>
          <w:szCs w:val="28"/>
        </w:rPr>
        <w:t xml:space="preserve">Another </w:t>
      </w:r>
      <w:r w:rsidR="006B5427" w:rsidRPr="00A87953">
        <w:rPr>
          <w:rFonts w:ascii="Times New Roman" w:hAnsi="Times New Roman"/>
          <w:sz w:val="28"/>
          <w:szCs w:val="28"/>
        </w:rPr>
        <w:t>situation I have been asked to address involves d</w:t>
      </w:r>
      <w:r w:rsidR="0094766D" w:rsidRPr="00A87953">
        <w:rPr>
          <w:rFonts w:ascii="Times New Roman" w:hAnsi="Times New Roman"/>
          <w:sz w:val="28"/>
          <w:szCs w:val="28"/>
        </w:rPr>
        <w:t>isputed claims for workers compensation</w:t>
      </w:r>
      <w:r w:rsidR="006B5427" w:rsidRPr="00A87953">
        <w:rPr>
          <w:rFonts w:ascii="Times New Roman" w:hAnsi="Times New Roman"/>
          <w:sz w:val="28"/>
          <w:szCs w:val="28"/>
        </w:rPr>
        <w:t>.</w:t>
      </w:r>
      <w:r w:rsidR="00B73F33">
        <w:rPr>
          <w:rFonts w:ascii="Times New Roman" w:hAnsi="Times New Roman"/>
          <w:sz w:val="28"/>
          <w:szCs w:val="28"/>
        </w:rPr>
        <w:t xml:space="preserve"> </w:t>
      </w:r>
      <w:r w:rsidR="006B5427" w:rsidRPr="00A87953">
        <w:rPr>
          <w:rFonts w:ascii="Times New Roman" w:hAnsi="Times New Roman"/>
          <w:sz w:val="28"/>
          <w:szCs w:val="28"/>
        </w:rPr>
        <w:t>Such claims are</w:t>
      </w:r>
      <w:r w:rsidR="0094766D" w:rsidRPr="00A87953">
        <w:rPr>
          <w:rFonts w:ascii="Times New Roman" w:hAnsi="Times New Roman"/>
          <w:sz w:val="28"/>
          <w:szCs w:val="28"/>
        </w:rPr>
        <w:t xml:space="preserve"> referred to the Workers Rehabilitation and Compensation Tribunal.</w:t>
      </w:r>
      <w:r w:rsidR="00B73F33">
        <w:rPr>
          <w:rFonts w:ascii="Times New Roman" w:hAnsi="Times New Roman"/>
          <w:sz w:val="28"/>
          <w:szCs w:val="28"/>
        </w:rPr>
        <w:t xml:space="preserve"> </w:t>
      </w:r>
      <w:r w:rsidR="0094766D" w:rsidRPr="00A87953">
        <w:rPr>
          <w:rFonts w:ascii="Times New Roman" w:hAnsi="Times New Roman"/>
          <w:sz w:val="28"/>
          <w:szCs w:val="28"/>
        </w:rPr>
        <w:t>Thus, the Tribunal may be called upon to decide:</w:t>
      </w:r>
    </w:p>
    <w:p w:rsidR="0094766D" w:rsidRPr="00A87953" w:rsidRDefault="00611D54" w:rsidP="00817310">
      <w:pPr>
        <w:numPr>
          <w:ilvl w:val="0"/>
          <w:numId w:val="13"/>
        </w:numPr>
        <w:ind w:left="360"/>
        <w:jc w:val="both"/>
        <w:rPr>
          <w:rFonts w:ascii="Times New Roman" w:hAnsi="Times New Roman"/>
          <w:sz w:val="28"/>
          <w:szCs w:val="28"/>
        </w:rPr>
      </w:pPr>
      <w:r w:rsidRPr="00A87953">
        <w:rPr>
          <w:rFonts w:ascii="Times New Roman" w:hAnsi="Times New Roman"/>
          <w:sz w:val="28"/>
          <w:szCs w:val="28"/>
        </w:rPr>
        <w:t>whether a person is a worker, that is</w:t>
      </w:r>
      <w:r w:rsidR="00A21CCE">
        <w:rPr>
          <w:rFonts w:ascii="Times New Roman" w:hAnsi="Times New Roman"/>
          <w:sz w:val="28"/>
          <w:szCs w:val="28"/>
        </w:rPr>
        <w:t>,</w:t>
      </w:r>
      <w:r w:rsidRPr="00A87953">
        <w:rPr>
          <w:rFonts w:ascii="Times New Roman" w:hAnsi="Times New Roman"/>
          <w:sz w:val="28"/>
          <w:szCs w:val="28"/>
        </w:rPr>
        <w:t xml:space="preserve"> working under a contract of service</w:t>
      </w:r>
      <w:r w:rsidRPr="00A87953">
        <w:rPr>
          <w:rStyle w:val="FootnoteReference"/>
          <w:rFonts w:ascii="Times New Roman" w:hAnsi="Times New Roman"/>
          <w:sz w:val="28"/>
          <w:szCs w:val="28"/>
        </w:rPr>
        <w:footnoteReference w:id="31"/>
      </w:r>
      <w:r w:rsidRPr="00A87953">
        <w:rPr>
          <w:rFonts w:ascii="Times New Roman" w:hAnsi="Times New Roman"/>
          <w:sz w:val="28"/>
          <w:szCs w:val="28"/>
        </w:rPr>
        <w:t>;</w:t>
      </w:r>
    </w:p>
    <w:p w:rsidR="00611D54" w:rsidRPr="00A87953" w:rsidRDefault="00611D54" w:rsidP="00817310">
      <w:pPr>
        <w:numPr>
          <w:ilvl w:val="0"/>
          <w:numId w:val="13"/>
        </w:numPr>
        <w:ind w:left="360"/>
        <w:jc w:val="both"/>
        <w:rPr>
          <w:rFonts w:ascii="Times New Roman" w:hAnsi="Times New Roman"/>
          <w:sz w:val="28"/>
          <w:szCs w:val="28"/>
        </w:rPr>
      </w:pPr>
      <w:r w:rsidRPr="00A87953">
        <w:rPr>
          <w:rFonts w:ascii="Times New Roman" w:hAnsi="Times New Roman"/>
          <w:sz w:val="28"/>
          <w:szCs w:val="28"/>
        </w:rPr>
        <w:t>whether an injury has been suffered</w:t>
      </w:r>
      <w:r w:rsidRPr="00A87953">
        <w:rPr>
          <w:rStyle w:val="FootnoteReference"/>
          <w:rFonts w:ascii="Times New Roman" w:hAnsi="Times New Roman"/>
          <w:sz w:val="28"/>
          <w:szCs w:val="28"/>
        </w:rPr>
        <w:footnoteReference w:id="32"/>
      </w:r>
      <w:r w:rsidRPr="00A87953">
        <w:rPr>
          <w:rFonts w:ascii="Times New Roman" w:hAnsi="Times New Roman"/>
          <w:sz w:val="28"/>
          <w:szCs w:val="28"/>
        </w:rPr>
        <w:t>;</w:t>
      </w:r>
    </w:p>
    <w:p w:rsidR="00611D54" w:rsidRPr="00A87953" w:rsidRDefault="00611D54" w:rsidP="00817310">
      <w:pPr>
        <w:numPr>
          <w:ilvl w:val="0"/>
          <w:numId w:val="13"/>
        </w:numPr>
        <w:ind w:left="360"/>
        <w:jc w:val="both"/>
        <w:rPr>
          <w:rFonts w:ascii="Times New Roman" w:hAnsi="Times New Roman"/>
          <w:sz w:val="28"/>
          <w:szCs w:val="28"/>
        </w:rPr>
      </w:pPr>
      <w:r w:rsidRPr="00A87953">
        <w:rPr>
          <w:rFonts w:ascii="Times New Roman" w:hAnsi="Times New Roman"/>
          <w:sz w:val="28"/>
          <w:szCs w:val="28"/>
        </w:rPr>
        <w:t>whether the injury arises out of or in the course of employment</w:t>
      </w:r>
      <w:r w:rsidRPr="00A87953">
        <w:rPr>
          <w:rStyle w:val="FootnoteReference"/>
          <w:rFonts w:ascii="Times New Roman" w:hAnsi="Times New Roman"/>
          <w:sz w:val="28"/>
          <w:szCs w:val="28"/>
        </w:rPr>
        <w:footnoteReference w:id="33"/>
      </w:r>
      <w:r w:rsidRPr="00A87953">
        <w:rPr>
          <w:rFonts w:ascii="Times New Roman" w:hAnsi="Times New Roman"/>
          <w:sz w:val="28"/>
          <w:szCs w:val="28"/>
        </w:rPr>
        <w:t>;</w:t>
      </w:r>
    </w:p>
    <w:p w:rsidR="00611D54" w:rsidRPr="00A87953" w:rsidRDefault="00611D54" w:rsidP="00817310">
      <w:pPr>
        <w:numPr>
          <w:ilvl w:val="0"/>
          <w:numId w:val="13"/>
        </w:numPr>
        <w:ind w:left="360"/>
        <w:jc w:val="both"/>
        <w:rPr>
          <w:rFonts w:ascii="Times New Roman" w:hAnsi="Times New Roman"/>
          <w:sz w:val="28"/>
          <w:szCs w:val="28"/>
        </w:rPr>
      </w:pPr>
      <w:r w:rsidRPr="00A87953">
        <w:rPr>
          <w:rFonts w:ascii="Times New Roman" w:hAnsi="Times New Roman"/>
          <w:sz w:val="28"/>
          <w:szCs w:val="28"/>
        </w:rPr>
        <w:t>whether an injury results in incapacity or death</w:t>
      </w:r>
      <w:r w:rsidRPr="00A87953">
        <w:rPr>
          <w:rStyle w:val="FootnoteReference"/>
          <w:rFonts w:ascii="Times New Roman" w:hAnsi="Times New Roman"/>
          <w:sz w:val="28"/>
          <w:szCs w:val="28"/>
        </w:rPr>
        <w:footnoteReference w:id="34"/>
      </w:r>
      <w:r w:rsidR="00A21CCE">
        <w:rPr>
          <w:rFonts w:ascii="Times New Roman" w:hAnsi="Times New Roman"/>
          <w:sz w:val="28"/>
          <w:szCs w:val="28"/>
        </w:rPr>
        <w:t>;</w:t>
      </w:r>
    </w:p>
    <w:p w:rsidR="00611D54" w:rsidRPr="00A87953" w:rsidRDefault="00611D54" w:rsidP="00817310">
      <w:pPr>
        <w:numPr>
          <w:ilvl w:val="0"/>
          <w:numId w:val="13"/>
        </w:numPr>
        <w:ind w:left="360"/>
        <w:jc w:val="both"/>
        <w:rPr>
          <w:rFonts w:ascii="Times New Roman" w:hAnsi="Times New Roman"/>
          <w:sz w:val="28"/>
          <w:szCs w:val="28"/>
        </w:rPr>
      </w:pPr>
      <w:r w:rsidRPr="00A87953">
        <w:rPr>
          <w:rFonts w:ascii="Times New Roman" w:hAnsi="Times New Roman"/>
          <w:sz w:val="28"/>
          <w:szCs w:val="28"/>
        </w:rPr>
        <w:lastRenderedPageBreak/>
        <w:t>whether injury results in total or partial incapacity for work</w:t>
      </w:r>
      <w:r w:rsidRPr="00A87953">
        <w:rPr>
          <w:rStyle w:val="FootnoteReference"/>
          <w:rFonts w:ascii="Times New Roman" w:hAnsi="Times New Roman"/>
          <w:sz w:val="28"/>
          <w:szCs w:val="28"/>
        </w:rPr>
        <w:footnoteReference w:id="35"/>
      </w:r>
      <w:r w:rsidRPr="00A87953">
        <w:rPr>
          <w:rFonts w:ascii="Times New Roman" w:hAnsi="Times New Roman"/>
          <w:sz w:val="28"/>
          <w:szCs w:val="28"/>
        </w:rPr>
        <w:t>.</w:t>
      </w:r>
    </w:p>
    <w:p w:rsidR="009C2BE5" w:rsidRPr="00A87953" w:rsidRDefault="00E4607E" w:rsidP="00817310">
      <w:pPr>
        <w:tabs>
          <w:tab w:val="num" w:pos="720"/>
        </w:tabs>
        <w:jc w:val="both"/>
        <w:rPr>
          <w:rFonts w:ascii="Times New Roman" w:hAnsi="Times New Roman"/>
          <w:sz w:val="28"/>
          <w:szCs w:val="28"/>
        </w:rPr>
      </w:pPr>
      <w:r w:rsidRPr="00A87953">
        <w:rPr>
          <w:rFonts w:ascii="Times New Roman" w:hAnsi="Times New Roman"/>
          <w:sz w:val="28"/>
          <w:szCs w:val="28"/>
        </w:rPr>
        <w:tab/>
      </w:r>
      <w:r w:rsidR="00611D54" w:rsidRPr="00A87953">
        <w:rPr>
          <w:rFonts w:ascii="Times New Roman" w:hAnsi="Times New Roman"/>
          <w:sz w:val="28"/>
          <w:szCs w:val="28"/>
        </w:rPr>
        <w:t>All of those qu</w:t>
      </w:r>
      <w:r w:rsidR="00A21CCE">
        <w:rPr>
          <w:rFonts w:ascii="Times New Roman" w:hAnsi="Times New Roman"/>
          <w:sz w:val="28"/>
          <w:szCs w:val="28"/>
        </w:rPr>
        <w:t>estions are a potential source of</w:t>
      </w:r>
      <w:r w:rsidR="00611D54" w:rsidRPr="00A87953">
        <w:rPr>
          <w:rFonts w:ascii="Times New Roman" w:hAnsi="Times New Roman"/>
          <w:sz w:val="28"/>
          <w:szCs w:val="28"/>
        </w:rPr>
        <w:t xml:space="preserve"> issue estoppel subject to th</w:t>
      </w:r>
      <w:r w:rsidR="009C2BE5" w:rsidRPr="00A87953">
        <w:rPr>
          <w:rFonts w:ascii="Times New Roman" w:hAnsi="Times New Roman"/>
          <w:sz w:val="28"/>
          <w:szCs w:val="28"/>
        </w:rPr>
        <w:t>e principles I have explained.</w:t>
      </w:r>
    </w:p>
    <w:p w:rsidR="009C2BE5" w:rsidRPr="00A87953" w:rsidRDefault="009C2BE5" w:rsidP="00817310">
      <w:pPr>
        <w:tabs>
          <w:tab w:val="num" w:pos="720"/>
        </w:tabs>
        <w:jc w:val="both"/>
        <w:rPr>
          <w:rFonts w:ascii="Times New Roman" w:hAnsi="Times New Roman"/>
          <w:sz w:val="28"/>
          <w:szCs w:val="28"/>
        </w:rPr>
      </w:pPr>
      <w:r w:rsidRPr="00A87953">
        <w:rPr>
          <w:rFonts w:ascii="Times New Roman" w:hAnsi="Times New Roman"/>
          <w:sz w:val="28"/>
          <w:szCs w:val="28"/>
        </w:rPr>
        <w:tab/>
        <w:t>My attention has been drawn also to the provisions concerning the statutory restriction on awards of damages which were amended in 2010.</w:t>
      </w:r>
      <w:r w:rsidR="00B73F33">
        <w:rPr>
          <w:rFonts w:ascii="Times New Roman" w:hAnsi="Times New Roman"/>
          <w:sz w:val="28"/>
          <w:szCs w:val="28"/>
        </w:rPr>
        <w:t xml:space="preserve"> </w:t>
      </w:r>
      <w:r w:rsidRPr="00A87953">
        <w:rPr>
          <w:rFonts w:ascii="Times New Roman" w:hAnsi="Times New Roman"/>
          <w:sz w:val="28"/>
          <w:szCs w:val="28"/>
        </w:rPr>
        <w:t xml:space="preserve">This picks up on the </w:t>
      </w:r>
      <w:r w:rsidRPr="00A87953">
        <w:rPr>
          <w:rFonts w:ascii="Times New Roman" w:hAnsi="Times New Roman"/>
          <w:i/>
          <w:sz w:val="28"/>
          <w:szCs w:val="28"/>
        </w:rPr>
        <w:t>Maurice Blackburn</w:t>
      </w:r>
      <w:r w:rsidRPr="00A87953">
        <w:rPr>
          <w:rFonts w:ascii="Times New Roman" w:hAnsi="Times New Roman"/>
          <w:sz w:val="28"/>
          <w:szCs w:val="28"/>
        </w:rPr>
        <w:t xml:space="preserve"> case </w:t>
      </w:r>
      <w:r w:rsidR="00A21CCE">
        <w:rPr>
          <w:rFonts w:ascii="Times New Roman" w:hAnsi="Times New Roman"/>
          <w:sz w:val="28"/>
          <w:szCs w:val="28"/>
        </w:rPr>
        <w:t>to which I said</w:t>
      </w:r>
      <w:r w:rsidRPr="00A87953">
        <w:rPr>
          <w:rFonts w:ascii="Times New Roman" w:hAnsi="Times New Roman"/>
          <w:sz w:val="28"/>
          <w:szCs w:val="28"/>
        </w:rPr>
        <w:t xml:space="preserve"> I would return.</w:t>
      </w:r>
      <w:r w:rsidR="00B73F33">
        <w:rPr>
          <w:rFonts w:ascii="Times New Roman" w:hAnsi="Times New Roman"/>
          <w:sz w:val="28"/>
          <w:szCs w:val="28"/>
        </w:rPr>
        <w:t xml:space="preserve"> </w:t>
      </w:r>
      <w:r w:rsidR="00C531CF" w:rsidRPr="00A87953">
        <w:rPr>
          <w:rFonts w:ascii="Times New Roman" w:hAnsi="Times New Roman"/>
          <w:sz w:val="28"/>
          <w:szCs w:val="28"/>
        </w:rPr>
        <w:t>The Tasmanian Act provides that, except as otherwise provided, the payment or an entitlement to the payment of compensation in respect of an injury does not affect the right to obtain damages in respect of that injury</w:t>
      </w:r>
      <w:r w:rsidR="00C531CF" w:rsidRPr="00A87953">
        <w:rPr>
          <w:rFonts w:ascii="Times New Roman" w:hAnsi="Times New Roman"/>
          <w:sz w:val="28"/>
          <w:szCs w:val="28"/>
          <w:vertAlign w:val="superscript"/>
        </w:rPr>
        <w:footnoteReference w:id="36"/>
      </w:r>
      <w:r w:rsidR="00C531CF" w:rsidRPr="00A87953">
        <w:rPr>
          <w:rFonts w:ascii="Times New Roman" w:hAnsi="Times New Roman"/>
          <w:sz w:val="28"/>
          <w:szCs w:val="28"/>
        </w:rPr>
        <w:t>.</w:t>
      </w:r>
      <w:r w:rsidR="00B73F33">
        <w:rPr>
          <w:rFonts w:ascii="Times New Roman" w:hAnsi="Times New Roman"/>
          <w:sz w:val="28"/>
          <w:szCs w:val="28"/>
        </w:rPr>
        <w:t xml:space="preserve"> </w:t>
      </w:r>
      <w:r w:rsidR="00BA2D59" w:rsidRPr="00A87953">
        <w:rPr>
          <w:rFonts w:ascii="Times New Roman" w:hAnsi="Times New Roman"/>
          <w:sz w:val="28"/>
          <w:szCs w:val="28"/>
        </w:rPr>
        <w:t>The Act restricts the right to claim damages against an employer independently of the Act if "the injury was caused by the negligence or other tort of, or a breach of contract or statutory duty by, an employer".</w:t>
      </w:r>
      <w:r w:rsidR="00BA2D59" w:rsidRPr="00A87953">
        <w:rPr>
          <w:rStyle w:val="FootnoteReference"/>
          <w:rFonts w:ascii="Times New Roman" w:hAnsi="Times New Roman"/>
          <w:sz w:val="28"/>
          <w:szCs w:val="28"/>
        </w:rPr>
        <w:footnoteReference w:id="37"/>
      </w:r>
      <w:r w:rsidR="00B73F33">
        <w:rPr>
          <w:rFonts w:ascii="Times New Roman" w:hAnsi="Times New Roman"/>
          <w:sz w:val="28"/>
          <w:szCs w:val="28"/>
        </w:rPr>
        <w:t xml:space="preserve"> </w:t>
      </w:r>
      <w:r w:rsidR="00BA2D59" w:rsidRPr="00A87953">
        <w:rPr>
          <w:rFonts w:ascii="Times New Roman" w:hAnsi="Times New Roman"/>
          <w:sz w:val="28"/>
          <w:szCs w:val="28"/>
        </w:rPr>
        <w:t>A person may not commence proceedings for an award of damages unless a threshold requirement of a 20</w:t>
      </w:r>
      <w:r w:rsidR="00A21CCE">
        <w:rPr>
          <w:rFonts w:ascii="Times New Roman" w:hAnsi="Times New Roman"/>
          <w:sz w:val="28"/>
          <w:szCs w:val="28"/>
        </w:rPr>
        <w:t xml:space="preserve"> per cent</w:t>
      </w:r>
      <w:r w:rsidR="00BA2D59" w:rsidRPr="00A87953">
        <w:rPr>
          <w:rFonts w:ascii="Times New Roman" w:hAnsi="Times New Roman"/>
          <w:sz w:val="28"/>
          <w:szCs w:val="28"/>
        </w:rPr>
        <w:t xml:space="preserve"> whole person permanent impairment is met</w:t>
      </w:r>
      <w:r w:rsidR="00BA2D59" w:rsidRPr="00A87953">
        <w:rPr>
          <w:rStyle w:val="FootnoteReference"/>
          <w:rFonts w:ascii="Times New Roman" w:hAnsi="Times New Roman"/>
          <w:sz w:val="28"/>
          <w:szCs w:val="28"/>
        </w:rPr>
        <w:footnoteReference w:id="38"/>
      </w:r>
      <w:r w:rsidR="00BA2D59" w:rsidRPr="00A87953">
        <w:rPr>
          <w:rFonts w:ascii="Times New Roman" w:hAnsi="Times New Roman"/>
          <w:sz w:val="28"/>
          <w:szCs w:val="28"/>
        </w:rPr>
        <w:t>.</w:t>
      </w:r>
      <w:r w:rsidR="00B73F33">
        <w:rPr>
          <w:rFonts w:ascii="Times New Roman" w:hAnsi="Times New Roman"/>
          <w:sz w:val="28"/>
          <w:szCs w:val="28"/>
        </w:rPr>
        <w:t xml:space="preserve"> </w:t>
      </w:r>
      <w:r w:rsidR="00BA2D59" w:rsidRPr="00A87953">
        <w:rPr>
          <w:rFonts w:ascii="Times New Roman" w:hAnsi="Times New Roman"/>
          <w:sz w:val="28"/>
          <w:szCs w:val="28"/>
        </w:rPr>
        <w:t>Whether the threshold is met is to be determined by the Tribunal</w:t>
      </w:r>
      <w:r w:rsidR="00075A51" w:rsidRPr="00A87953">
        <w:rPr>
          <w:rFonts w:ascii="Times New Roman" w:hAnsi="Times New Roman"/>
          <w:sz w:val="28"/>
          <w:szCs w:val="28"/>
        </w:rPr>
        <w:t>, which may refer the question of the degree of impairment to a medical panel</w:t>
      </w:r>
      <w:r w:rsidR="00BA2D59" w:rsidRPr="00A87953">
        <w:rPr>
          <w:rFonts w:ascii="Times New Roman" w:hAnsi="Times New Roman"/>
          <w:sz w:val="28"/>
          <w:szCs w:val="28"/>
        </w:rPr>
        <w:t>.</w:t>
      </w:r>
      <w:r w:rsidR="00B73F33">
        <w:rPr>
          <w:rFonts w:ascii="Times New Roman" w:hAnsi="Times New Roman"/>
          <w:sz w:val="28"/>
          <w:szCs w:val="28"/>
        </w:rPr>
        <w:t xml:space="preserve"> </w:t>
      </w:r>
      <w:r w:rsidRPr="00A87953">
        <w:rPr>
          <w:rFonts w:ascii="Times New Roman" w:hAnsi="Times New Roman"/>
          <w:sz w:val="28"/>
          <w:szCs w:val="28"/>
        </w:rPr>
        <w:t xml:space="preserve">Does an issue estoppel arise from such a </w:t>
      </w:r>
      <w:r w:rsidR="00C54A6C" w:rsidRPr="00A87953">
        <w:rPr>
          <w:rFonts w:ascii="Times New Roman" w:hAnsi="Times New Roman"/>
          <w:sz w:val="28"/>
          <w:szCs w:val="28"/>
        </w:rPr>
        <w:t>decision?</w:t>
      </w:r>
      <w:r w:rsidR="00B73F33">
        <w:rPr>
          <w:rFonts w:ascii="Times New Roman" w:hAnsi="Times New Roman"/>
          <w:sz w:val="28"/>
          <w:szCs w:val="28"/>
        </w:rPr>
        <w:t xml:space="preserve"> </w:t>
      </w:r>
      <w:r w:rsidR="00BA2D59" w:rsidRPr="00A87953">
        <w:rPr>
          <w:rFonts w:ascii="Times New Roman" w:hAnsi="Times New Roman"/>
          <w:sz w:val="28"/>
          <w:szCs w:val="28"/>
        </w:rPr>
        <w:t xml:space="preserve">I do not presently see how the Tribunal would be called on </w:t>
      </w:r>
      <w:r w:rsidR="00143BB6" w:rsidRPr="00A87953">
        <w:rPr>
          <w:rFonts w:ascii="Times New Roman" w:hAnsi="Times New Roman"/>
          <w:sz w:val="28"/>
          <w:szCs w:val="28"/>
        </w:rPr>
        <w:t xml:space="preserve">to determine whether there is negligence </w:t>
      </w:r>
      <w:r w:rsidR="00C85F4C" w:rsidRPr="00A87953">
        <w:rPr>
          <w:rFonts w:ascii="Times New Roman" w:hAnsi="Times New Roman"/>
          <w:sz w:val="28"/>
          <w:szCs w:val="28"/>
        </w:rPr>
        <w:t>or breach of statutory duty</w:t>
      </w:r>
      <w:r w:rsidR="00143BB6" w:rsidRPr="00A87953">
        <w:rPr>
          <w:rFonts w:ascii="Times New Roman" w:hAnsi="Times New Roman"/>
          <w:sz w:val="28"/>
          <w:szCs w:val="28"/>
        </w:rPr>
        <w:t>.</w:t>
      </w:r>
      <w:r w:rsidR="00B73F33">
        <w:rPr>
          <w:rFonts w:ascii="Times New Roman" w:hAnsi="Times New Roman"/>
          <w:sz w:val="28"/>
          <w:szCs w:val="28"/>
        </w:rPr>
        <w:t xml:space="preserve"> </w:t>
      </w:r>
      <w:r w:rsidR="00143BB6" w:rsidRPr="00A87953">
        <w:rPr>
          <w:rFonts w:ascii="Times New Roman" w:hAnsi="Times New Roman"/>
          <w:sz w:val="28"/>
          <w:szCs w:val="28"/>
        </w:rPr>
        <w:t>The Tribunal</w:t>
      </w:r>
      <w:r w:rsidR="00A21CCE">
        <w:rPr>
          <w:rFonts w:ascii="Times New Roman" w:hAnsi="Times New Roman"/>
          <w:sz w:val="28"/>
          <w:szCs w:val="28"/>
        </w:rPr>
        <w:t>'</w:t>
      </w:r>
      <w:r w:rsidR="00143BB6" w:rsidRPr="00A87953">
        <w:rPr>
          <w:rFonts w:ascii="Times New Roman" w:hAnsi="Times New Roman"/>
          <w:sz w:val="28"/>
          <w:szCs w:val="28"/>
        </w:rPr>
        <w:t>s function is limited to determining the degree of impairment.</w:t>
      </w:r>
      <w:r w:rsidR="00B73F33">
        <w:rPr>
          <w:rFonts w:ascii="Times New Roman" w:hAnsi="Times New Roman"/>
          <w:sz w:val="28"/>
          <w:szCs w:val="28"/>
        </w:rPr>
        <w:t xml:space="preserve"> </w:t>
      </w:r>
      <w:r w:rsidR="00143BB6" w:rsidRPr="00A87953">
        <w:rPr>
          <w:rFonts w:ascii="Times New Roman" w:hAnsi="Times New Roman"/>
          <w:sz w:val="28"/>
          <w:szCs w:val="28"/>
        </w:rPr>
        <w:t>And as to that I would doubt that its finding would bind the Supreme Court in a damages claim</w:t>
      </w:r>
      <w:r w:rsidR="00A21CCE">
        <w:rPr>
          <w:rFonts w:ascii="Times New Roman" w:hAnsi="Times New Roman"/>
          <w:sz w:val="28"/>
          <w:szCs w:val="28"/>
        </w:rPr>
        <w:t>,</w:t>
      </w:r>
      <w:r w:rsidR="00143BB6" w:rsidRPr="00A87953">
        <w:rPr>
          <w:rFonts w:ascii="Times New Roman" w:hAnsi="Times New Roman"/>
          <w:sz w:val="28"/>
          <w:szCs w:val="28"/>
        </w:rPr>
        <w:t xml:space="preserve"> but I may be wrong.</w:t>
      </w:r>
      <w:r w:rsidR="00B73F33">
        <w:rPr>
          <w:rFonts w:ascii="Times New Roman" w:hAnsi="Times New Roman"/>
          <w:sz w:val="28"/>
          <w:szCs w:val="28"/>
        </w:rPr>
        <w:t xml:space="preserve"> </w:t>
      </w:r>
      <w:r w:rsidRPr="00A87953">
        <w:rPr>
          <w:rFonts w:ascii="Times New Roman" w:hAnsi="Times New Roman"/>
          <w:sz w:val="28"/>
          <w:szCs w:val="28"/>
        </w:rPr>
        <w:t>However</w:t>
      </w:r>
      <w:r w:rsidR="00A21CCE">
        <w:rPr>
          <w:rFonts w:ascii="Times New Roman" w:hAnsi="Times New Roman"/>
          <w:sz w:val="28"/>
          <w:szCs w:val="28"/>
        </w:rPr>
        <w:t>,</w:t>
      </w:r>
      <w:r w:rsidRPr="00A87953">
        <w:rPr>
          <w:rFonts w:ascii="Times New Roman" w:hAnsi="Times New Roman"/>
          <w:sz w:val="28"/>
          <w:szCs w:val="28"/>
        </w:rPr>
        <w:t xml:space="preserve"> there are other issues that are necessarily involved in the threshold determination under s138AB(2) and (3), namely whether:</w:t>
      </w:r>
    </w:p>
    <w:p w:rsidR="009C2BE5" w:rsidRPr="00A87953" w:rsidRDefault="009C2BE5" w:rsidP="00817310">
      <w:pPr>
        <w:numPr>
          <w:ilvl w:val="0"/>
          <w:numId w:val="14"/>
        </w:numPr>
        <w:ind w:left="360"/>
        <w:jc w:val="both"/>
        <w:rPr>
          <w:rFonts w:ascii="Times New Roman" w:hAnsi="Times New Roman"/>
          <w:sz w:val="28"/>
          <w:szCs w:val="28"/>
        </w:rPr>
      </w:pPr>
      <w:r w:rsidRPr="00A87953">
        <w:rPr>
          <w:rFonts w:ascii="Times New Roman" w:hAnsi="Times New Roman"/>
          <w:sz w:val="28"/>
          <w:szCs w:val="28"/>
        </w:rPr>
        <w:t>there has been an injury to a worker;</w:t>
      </w:r>
    </w:p>
    <w:p w:rsidR="009C2BE5" w:rsidRPr="00A87953" w:rsidRDefault="009C2BE5" w:rsidP="00817310">
      <w:pPr>
        <w:numPr>
          <w:ilvl w:val="0"/>
          <w:numId w:val="14"/>
        </w:numPr>
        <w:ind w:left="360"/>
        <w:jc w:val="both"/>
        <w:rPr>
          <w:rFonts w:ascii="Times New Roman" w:hAnsi="Times New Roman"/>
          <w:sz w:val="28"/>
          <w:szCs w:val="28"/>
        </w:rPr>
      </w:pPr>
      <w:r w:rsidRPr="00A87953">
        <w:rPr>
          <w:rFonts w:ascii="Times New Roman" w:hAnsi="Times New Roman"/>
          <w:sz w:val="28"/>
          <w:szCs w:val="28"/>
        </w:rPr>
        <w:t>the injury is one for which compensation is payable under the Act, that is</w:t>
      </w:r>
      <w:r w:rsidR="00A21CCE">
        <w:rPr>
          <w:rFonts w:ascii="Times New Roman" w:hAnsi="Times New Roman"/>
          <w:sz w:val="28"/>
          <w:szCs w:val="28"/>
        </w:rPr>
        <w:t>,</w:t>
      </w:r>
      <w:r w:rsidRPr="00A87953">
        <w:rPr>
          <w:rFonts w:ascii="Times New Roman" w:hAnsi="Times New Roman"/>
          <w:sz w:val="28"/>
          <w:szCs w:val="28"/>
        </w:rPr>
        <w:t xml:space="preserve"> that it arises out of or in the course of employment</w:t>
      </w:r>
      <w:r w:rsidRPr="00A87953">
        <w:rPr>
          <w:rFonts w:ascii="Times New Roman" w:hAnsi="Times New Roman"/>
          <w:sz w:val="28"/>
          <w:szCs w:val="28"/>
          <w:vertAlign w:val="superscript"/>
        </w:rPr>
        <w:footnoteReference w:id="39"/>
      </w:r>
      <w:r w:rsidRPr="00A87953">
        <w:rPr>
          <w:rFonts w:ascii="Times New Roman" w:hAnsi="Times New Roman"/>
          <w:sz w:val="28"/>
          <w:szCs w:val="28"/>
        </w:rPr>
        <w:t>;</w:t>
      </w:r>
    </w:p>
    <w:p w:rsidR="009C2BE5" w:rsidRPr="00A87953" w:rsidRDefault="009C2BE5" w:rsidP="00817310">
      <w:pPr>
        <w:numPr>
          <w:ilvl w:val="0"/>
          <w:numId w:val="14"/>
        </w:numPr>
        <w:ind w:left="360"/>
        <w:jc w:val="both"/>
        <w:rPr>
          <w:rFonts w:ascii="Times New Roman" w:hAnsi="Times New Roman"/>
          <w:sz w:val="28"/>
          <w:szCs w:val="28"/>
        </w:rPr>
      </w:pPr>
      <w:r w:rsidRPr="00A87953">
        <w:rPr>
          <w:rFonts w:ascii="Times New Roman" w:hAnsi="Times New Roman"/>
          <w:sz w:val="28"/>
          <w:szCs w:val="28"/>
        </w:rPr>
        <w:lastRenderedPageBreak/>
        <w:t>the injury causes a permanent impairment of at least 20 per cent of the whole person.</w:t>
      </w:r>
    </w:p>
    <w:p w:rsidR="00EA3451" w:rsidRPr="00A87953" w:rsidRDefault="009C2BE5" w:rsidP="00817310">
      <w:pPr>
        <w:tabs>
          <w:tab w:val="num" w:pos="720"/>
        </w:tabs>
        <w:jc w:val="both"/>
        <w:rPr>
          <w:rFonts w:ascii="Times New Roman" w:hAnsi="Times New Roman"/>
          <w:sz w:val="28"/>
          <w:szCs w:val="28"/>
        </w:rPr>
      </w:pPr>
      <w:r w:rsidRPr="00A87953">
        <w:rPr>
          <w:rFonts w:ascii="Times New Roman" w:hAnsi="Times New Roman"/>
          <w:sz w:val="28"/>
          <w:szCs w:val="28"/>
        </w:rPr>
        <w:tab/>
        <w:t xml:space="preserve">The application of the decision to the Tasmanian legislation requires careful </w:t>
      </w:r>
      <w:r w:rsidR="00C54A6C" w:rsidRPr="00A87953">
        <w:rPr>
          <w:rFonts w:ascii="Times New Roman" w:hAnsi="Times New Roman"/>
          <w:sz w:val="28"/>
          <w:szCs w:val="28"/>
        </w:rPr>
        <w:t>consideration.</w:t>
      </w:r>
      <w:r w:rsidR="00B73F33">
        <w:rPr>
          <w:rFonts w:ascii="Times New Roman" w:hAnsi="Times New Roman"/>
          <w:sz w:val="28"/>
          <w:szCs w:val="28"/>
        </w:rPr>
        <w:t xml:space="preserve"> </w:t>
      </w:r>
      <w:r w:rsidR="00C54A6C">
        <w:rPr>
          <w:rFonts w:ascii="Times New Roman" w:hAnsi="Times New Roman"/>
          <w:sz w:val="28"/>
          <w:szCs w:val="28"/>
        </w:rPr>
        <w:t xml:space="preserve">I may </w:t>
      </w:r>
      <w:r w:rsidRPr="00A87953">
        <w:rPr>
          <w:rFonts w:ascii="Times New Roman" w:hAnsi="Times New Roman"/>
          <w:sz w:val="28"/>
          <w:szCs w:val="28"/>
        </w:rPr>
        <w:t>at some stage be called upon to deal with</w:t>
      </w:r>
      <w:r w:rsidR="00C54A6C">
        <w:rPr>
          <w:rFonts w:ascii="Times New Roman" w:hAnsi="Times New Roman"/>
          <w:sz w:val="28"/>
          <w:szCs w:val="28"/>
        </w:rPr>
        <w:t xml:space="preserve"> it</w:t>
      </w:r>
      <w:r w:rsidRPr="00A87953">
        <w:rPr>
          <w:rFonts w:ascii="Times New Roman" w:hAnsi="Times New Roman"/>
          <w:sz w:val="28"/>
          <w:szCs w:val="28"/>
        </w:rPr>
        <w:t>, and so I do not express a concluded view.</w:t>
      </w:r>
      <w:r w:rsidR="00B73F33">
        <w:rPr>
          <w:rFonts w:ascii="Times New Roman" w:hAnsi="Times New Roman"/>
          <w:sz w:val="28"/>
          <w:szCs w:val="28"/>
        </w:rPr>
        <w:t xml:space="preserve"> </w:t>
      </w:r>
      <w:r w:rsidR="00C85F4C" w:rsidRPr="00A87953">
        <w:rPr>
          <w:rFonts w:ascii="Times New Roman" w:hAnsi="Times New Roman"/>
          <w:sz w:val="28"/>
          <w:szCs w:val="28"/>
        </w:rPr>
        <w:t xml:space="preserve">The legislation in Tasmania is not the same as the legislation in Victoria dealt with by the High Court in </w:t>
      </w:r>
      <w:r w:rsidR="005572B0" w:rsidRPr="00A87953">
        <w:rPr>
          <w:rFonts w:ascii="Times New Roman" w:hAnsi="Times New Roman"/>
          <w:i/>
          <w:sz w:val="28"/>
          <w:szCs w:val="28"/>
        </w:rPr>
        <w:t>Maurice Blackburn</w:t>
      </w:r>
      <w:r w:rsidRPr="00A87953">
        <w:rPr>
          <w:rFonts w:ascii="Times New Roman" w:hAnsi="Times New Roman"/>
          <w:sz w:val="28"/>
          <w:szCs w:val="28"/>
        </w:rPr>
        <w:t>.</w:t>
      </w:r>
      <w:r w:rsidR="00B73F33">
        <w:rPr>
          <w:rFonts w:ascii="Times New Roman" w:hAnsi="Times New Roman"/>
          <w:sz w:val="28"/>
          <w:szCs w:val="28"/>
        </w:rPr>
        <w:t xml:space="preserve"> </w:t>
      </w:r>
      <w:r w:rsidRPr="00A87953">
        <w:rPr>
          <w:rFonts w:ascii="Times New Roman" w:hAnsi="Times New Roman"/>
          <w:sz w:val="28"/>
          <w:szCs w:val="28"/>
        </w:rPr>
        <w:t xml:space="preserve">However, if the result reached in </w:t>
      </w:r>
      <w:r w:rsidRPr="00A87953">
        <w:rPr>
          <w:rFonts w:ascii="Times New Roman" w:hAnsi="Times New Roman"/>
          <w:i/>
          <w:sz w:val="28"/>
          <w:szCs w:val="28"/>
        </w:rPr>
        <w:t>Maurice Blackburn</w:t>
      </w:r>
      <w:r w:rsidRPr="00A87953">
        <w:rPr>
          <w:rFonts w:ascii="Times New Roman" w:hAnsi="Times New Roman"/>
          <w:sz w:val="28"/>
          <w:szCs w:val="28"/>
        </w:rPr>
        <w:t xml:space="preserve"> </w:t>
      </w:r>
      <w:r w:rsidR="00EA3451" w:rsidRPr="00A87953">
        <w:rPr>
          <w:rFonts w:ascii="Times New Roman" w:hAnsi="Times New Roman"/>
          <w:sz w:val="28"/>
          <w:szCs w:val="28"/>
        </w:rPr>
        <w:t>applies in Tasmania, no issue estoppel would arise from a determination about whether</w:t>
      </w:r>
      <w:r w:rsidRPr="00A87953">
        <w:rPr>
          <w:rFonts w:ascii="Times New Roman" w:hAnsi="Times New Roman"/>
          <w:sz w:val="28"/>
          <w:szCs w:val="28"/>
        </w:rPr>
        <w:t xml:space="preserve"> a worker has at least a 20 per cent whole person impairment that would bind the Supreme Court in a damages claim</w:t>
      </w:r>
      <w:r w:rsidR="00C54A6C">
        <w:rPr>
          <w:rFonts w:ascii="Times New Roman" w:hAnsi="Times New Roman"/>
          <w:sz w:val="28"/>
          <w:szCs w:val="28"/>
        </w:rPr>
        <w:t>, either as to whether an injury occurred or the effects of the injury</w:t>
      </w:r>
      <w:r w:rsidRPr="00A87953">
        <w:rPr>
          <w:rFonts w:ascii="Times New Roman" w:hAnsi="Times New Roman"/>
          <w:sz w:val="28"/>
          <w:szCs w:val="28"/>
        </w:rPr>
        <w:t>.</w:t>
      </w:r>
      <w:r w:rsidR="00B73F33">
        <w:rPr>
          <w:rFonts w:ascii="Times New Roman" w:hAnsi="Times New Roman"/>
          <w:sz w:val="28"/>
          <w:szCs w:val="28"/>
        </w:rPr>
        <w:t xml:space="preserve"> </w:t>
      </w:r>
      <w:r w:rsidR="00E04A67">
        <w:rPr>
          <w:rFonts w:ascii="Times New Roman" w:hAnsi="Times New Roman"/>
          <w:sz w:val="28"/>
          <w:szCs w:val="28"/>
        </w:rPr>
        <w:t xml:space="preserve">It remains to be seen whether the same applies to the </w:t>
      </w:r>
      <w:r w:rsidR="008244A0">
        <w:rPr>
          <w:rFonts w:ascii="Times New Roman" w:hAnsi="Times New Roman"/>
          <w:sz w:val="28"/>
          <w:szCs w:val="28"/>
        </w:rPr>
        <w:t xml:space="preserve">questions involved in </w:t>
      </w:r>
      <w:r w:rsidR="00B9309C">
        <w:rPr>
          <w:rFonts w:ascii="Times New Roman" w:hAnsi="Times New Roman"/>
          <w:sz w:val="28"/>
          <w:szCs w:val="28"/>
        </w:rPr>
        <w:t>a Tribunal</w:t>
      </w:r>
      <w:r w:rsidR="00E04A67">
        <w:rPr>
          <w:rFonts w:ascii="Times New Roman" w:hAnsi="Times New Roman"/>
          <w:sz w:val="28"/>
          <w:szCs w:val="28"/>
        </w:rPr>
        <w:t xml:space="preserve"> determination of the original claim for compensation.</w:t>
      </w:r>
    </w:p>
    <w:p w:rsidR="00143BB6" w:rsidRPr="00A87953" w:rsidRDefault="00E4607E" w:rsidP="00817310">
      <w:pPr>
        <w:tabs>
          <w:tab w:val="num" w:pos="720"/>
        </w:tabs>
        <w:jc w:val="both"/>
        <w:rPr>
          <w:rFonts w:ascii="Times New Roman" w:hAnsi="Times New Roman"/>
          <w:bCs/>
          <w:sz w:val="28"/>
          <w:szCs w:val="28"/>
        </w:rPr>
      </w:pPr>
      <w:r w:rsidRPr="00A87953">
        <w:rPr>
          <w:rFonts w:ascii="Times New Roman" w:hAnsi="Times New Roman"/>
          <w:bCs/>
          <w:sz w:val="28"/>
          <w:szCs w:val="28"/>
        </w:rPr>
        <w:tab/>
      </w:r>
      <w:r w:rsidR="00520215" w:rsidRPr="00A87953">
        <w:rPr>
          <w:rFonts w:ascii="Times New Roman" w:hAnsi="Times New Roman"/>
          <w:bCs/>
          <w:sz w:val="28"/>
          <w:szCs w:val="28"/>
        </w:rPr>
        <w:t xml:space="preserve">Finally, I mention </w:t>
      </w:r>
      <w:r w:rsidR="007F3358" w:rsidRPr="00A87953">
        <w:rPr>
          <w:rFonts w:ascii="Times New Roman" w:hAnsi="Times New Roman"/>
          <w:bCs/>
          <w:sz w:val="28"/>
          <w:szCs w:val="28"/>
        </w:rPr>
        <w:t>again decisions of the various professional tribunals.</w:t>
      </w:r>
      <w:r w:rsidR="00B73F33">
        <w:rPr>
          <w:rFonts w:ascii="Times New Roman" w:hAnsi="Times New Roman"/>
          <w:bCs/>
          <w:sz w:val="28"/>
          <w:szCs w:val="28"/>
        </w:rPr>
        <w:t xml:space="preserve"> </w:t>
      </w:r>
      <w:r w:rsidR="007F3358" w:rsidRPr="00A87953">
        <w:rPr>
          <w:rFonts w:ascii="Times New Roman" w:hAnsi="Times New Roman"/>
          <w:bCs/>
          <w:sz w:val="28"/>
          <w:szCs w:val="28"/>
        </w:rPr>
        <w:t>My preliminary view is that findings of such tribunals that a lawyer, doctor, psychologist or builder is guilty of unprofessional conduct or professional misconduct is unlikely to give rise to an issue estoppel in a claim for damages for negligence or breach of contract, because a different issue is being determined.</w:t>
      </w:r>
    </w:p>
    <w:p w:rsidR="00EC2B79" w:rsidRPr="00A87953" w:rsidRDefault="00EC2B79" w:rsidP="00817310">
      <w:pPr>
        <w:tabs>
          <w:tab w:val="num" w:pos="720"/>
        </w:tabs>
        <w:jc w:val="both"/>
        <w:rPr>
          <w:rFonts w:ascii="Times New Roman" w:hAnsi="Times New Roman"/>
          <w:bCs/>
          <w:sz w:val="28"/>
          <w:szCs w:val="28"/>
        </w:rPr>
      </w:pPr>
    </w:p>
    <w:p w:rsidR="00EC2B79" w:rsidRPr="00A87953" w:rsidRDefault="00EC2B79" w:rsidP="00817310">
      <w:pPr>
        <w:jc w:val="both"/>
        <w:rPr>
          <w:rFonts w:ascii="Times New Roman" w:hAnsi="Times New Roman"/>
          <w:b/>
          <w:bCs/>
          <w:sz w:val="28"/>
          <w:szCs w:val="28"/>
        </w:rPr>
      </w:pPr>
      <w:r w:rsidRPr="00A87953">
        <w:rPr>
          <w:rFonts w:ascii="Times New Roman" w:hAnsi="Times New Roman"/>
          <w:b/>
          <w:bCs/>
          <w:sz w:val="28"/>
          <w:szCs w:val="28"/>
        </w:rPr>
        <w:t>Conclusion</w:t>
      </w:r>
    </w:p>
    <w:p w:rsidR="00EC2B79" w:rsidRPr="00A87953" w:rsidRDefault="00EC2B79" w:rsidP="00817310">
      <w:pPr>
        <w:tabs>
          <w:tab w:val="num" w:pos="720"/>
        </w:tabs>
        <w:jc w:val="both"/>
        <w:rPr>
          <w:rFonts w:ascii="Times New Roman" w:hAnsi="Times New Roman"/>
          <w:sz w:val="28"/>
          <w:szCs w:val="28"/>
        </w:rPr>
      </w:pPr>
      <w:r w:rsidRPr="00A87953">
        <w:rPr>
          <w:rFonts w:ascii="Times New Roman" w:hAnsi="Times New Roman"/>
          <w:bCs/>
          <w:sz w:val="28"/>
          <w:szCs w:val="28"/>
        </w:rPr>
        <w:t>The aim of this paper has been to inform you about issue estoppel and tell you when</w:t>
      </w:r>
      <w:r w:rsidR="00B04DA9" w:rsidRPr="00A87953">
        <w:rPr>
          <w:rFonts w:ascii="Times New Roman" w:hAnsi="Times New Roman"/>
          <w:bCs/>
          <w:sz w:val="28"/>
          <w:szCs w:val="28"/>
        </w:rPr>
        <w:t xml:space="preserve"> and why </w:t>
      </w:r>
      <w:r w:rsidRPr="00A87953">
        <w:rPr>
          <w:rFonts w:ascii="Times New Roman" w:hAnsi="Times New Roman"/>
          <w:bCs/>
          <w:sz w:val="28"/>
          <w:szCs w:val="28"/>
        </w:rPr>
        <w:t>it may apply.</w:t>
      </w:r>
      <w:r w:rsidR="00B73F33">
        <w:rPr>
          <w:rFonts w:ascii="Times New Roman" w:hAnsi="Times New Roman"/>
          <w:bCs/>
          <w:sz w:val="28"/>
          <w:szCs w:val="28"/>
        </w:rPr>
        <w:t xml:space="preserve"> </w:t>
      </w:r>
      <w:r w:rsidR="00E6657A">
        <w:rPr>
          <w:rFonts w:ascii="Times New Roman" w:hAnsi="Times New Roman"/>
          <w:bCs/>
          <w:sz w:val="28"/>
          <w:szCs w:val="28"/>
        </w:rPr>
        <w:t xml:space="preserve">Armed with that information </w:t>
      </w:r>
      <w:r w:rsidR="00B04DA9" w:rsidRPr="00A87953">
        <w:rPr>
          <w:rFonts w:ascii="Times New Roman" w:hAnsi="Times New Roman"/>
          <w:bCs/>
          <w:sz w:val="28"/>
          <w:szCs w:val="28"/>
        </w:rPr>
        <w:t>you may be</w:t>
      </w:r>
      <w:r w:rsidR="00E6657A">
        <w:rPr>
          <w:rFonts w:ascii="Times New Roman" w:hAnsi="Times New Roman"/>
          <w:bCs/>
          <w:sz w:val="28"/>
          <w:szCs w:val="28"/>
        </w:rPr>
        <w:t>tter recognise</w:t>
      </w:r>
      <w:r w:rsidR="00B04DA9" w:rsidRPr="00A87953">
        <w:rPr>
          <w:rFonts w:ascii="Times New Roman" w:hAnsi="Times New Roman"/>
          <w:bCs/>
          <w:sz w:val="28"/>
          <w:szCs w:val="28"/>
        </w:rPr>
        <w:t xml:space="preserve"> the possibility that it may arise and take time to consider what you may do</w:t>
      </w:r>
      <w:r w:rsidR="00BE693F">
        <w:rPr>
          <w:rFonts w:ascii="Times New Roman" w:hAnsi="Times New Roman"/>
          <w:bCs/>
          <w:sz w:val="28"/>
          <w:szCs w:val="28"/>
        </w:rPr>
        <w:t>,</w:t>
      </w:r>
      <w:r w:rsidR="00B04DA9" w:rsidRPr="00A87953">
        <w:rPr>
          <w:rFonts w:ascii="Times New Roman" w:hAnsi="Times New Roman"/>
          <w:bCs/>
          <w:sz w:val="28"/>
          <w:szCs w:val="28"/>
        </w:rPr>
        <w:t xml:space="preserve"> either </w:t>
      </w:r>
      <w:r w:rsidR="00BE693F">
        <w:rPr>
          <w:rFonts w:ascii="Times New Roman" w:hAnsi="Times New Roman"/>
          <w:bCs/>
          <w:sz w:val="28"/>
          <w:szCs w:val="28"/>
        </w:rPr>
        <w:t xml:space="preserve">to </w:t>
      </w:r>
      <w:r w:rsidR="00B04DA9" w:rsidRPr="00A87953">
        <w:rPr>
          <w:rFonts w:ascii="Times New Roman" w:hAnsi="Times New Roman"/>
          <w:bCs/>
          <w:sz w:val="28"/>
          <w:szCs w:val="28"/>
        </w:rPr>
        <w:t xml:space="preserve">take advantage of </w:t>
      </w:r>
      <w:r w:rsidR="00BE693F">
        <w:rPr>
          <w:rFonts w:ascii="Times New Roman" w:hAnsi="Times New Roman"/>
          <w:bCs/>
          <w:sz w:val="28"/>
          <w:szCs w:val="28"/>
        </w:rPr>
        <w:t>an opportunity</w:t>
      </w:r>
      <w:r w:rsidR="00B04DA9" w:rsidRPr="00A87953">
        <w:rPr>
          <w:rFonts w:ascii="Times New Roman" w:hAnsi="Times New Roman"/>
          <w:bCs/>
          <w:sz w:val="28"/>
          <w:szCs w:val="28"/>
        </w:rPr>
        <w:t xml:space="preserve"> or guard against </w:t>
      </w:r>
      <w:r w:rsidR="00BE693F">
        <w:rPr>
          <w:rFonts w:ascii="Times New Roman" w:hAnsi="Times New Roman"/>
          <w:bCs/>
          <w:sz w:val="28"/>
          <w:szCs w:val="28"/>
        </w:rPr>
        <w:t>a trap</w:t>
      </w:r>
      <w:r w:rsidR="00B04DA9" w:rsidRPr="00A87953">
        <w:rPr>
          <w:rFonts w:ascii="Times New Roman" w:hAnsi="Times New Roman"/>
          <w:bCs/>
          <w:sz w:val="28"/>
          <w:szCs w:val="28"/>
        </w:rPr>
        <w:t>, perhaps by returning to this paper and using it as a starting point for a more detailed consideration.</w:t>
      </w:r>
    </w:p>
    <w:sectPr w:rsidR="00EC2B79" w:rsidRPr="00A8795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4B" w:rsidRDefault="004A7D4B" w:rsidP="00060488">
      <w:pPr>
        <w:spacing w:after="0" w:line="240" w:lineRule="auto"/>
      </w:pPr>
      <w:r>
        <w:separator/>
      </w:r>
    </w:p>
  </w:endnote>
  <w:endnote w:type="continuationSeparator" w:id="0">
    <w:p w:rsidR="004A7D4B" w:rsidRDefault="004A7D4B" w:rsidP="0006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C4" w:rsidRDefault="007B3FC4">
    <w:pPr>
      <w:pStyle w:val="Footer"/>
      <w:jc w:val="right"/>
    </w:pPr>
    <w:r>
      <w:fldChar w:fldCharType="begin"/>
    </w:r>
    <w:r>
      <w:instrText xml:space="preserve"> PAGE   \* MERGEFORMAT </w:instrText>
    </w:r>
    <w:r>
      <w:fldChar w:fldCharType="separate"/>
    </w:r>
    <w:r w:rsidR="00E51DBD">
      <w:rPr>
        <w:noProof/>
      </w:rPr>
      <w:t>2</w:t>
    </w:r>
    <w:r>
      <w:rPr>
        <w:noProof/>
      </w:rPr>
      <w:fldChar w:fldCharType="end"/>
    </w:r>
  </w:p>
  <w:p w:rsidR="007B3FC4" w:rsidRDefault="007B3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4B" w:rsidRDefault="004A7D4B" w:rsidP="00060488">
      <w:pPr>
        <w:spacing w:after="0" w:line="240" w:lineRule="auto"/>
      </w:pPr>
      <w:r>
        <w:separator/>
      </w:r>
    </w:p>
  </w:footnote>
  <w:footnote w:type="continuationSeparator" w:id="0">
    <w:p w:rsidR="004A7D4B" w:rsidRDefault="004A7D4B" w:rsidP="00060488">
      <w:pPr>
        <w:spacing w:after="0" w:line="240" w:lineRule="auto"/>
      </w:pPr>
      <w:r>
        <w:continuationSeparator/>
      </w:r>
    </w:p>
  </w:footnote>
  <w:footnote w:id="1">
    <w:p w:rsidR="007B3FC4" w:rsidRPr="006A3AE7" w:rsidRDefault="007B3FC4">
      <w:pPr>
        <w:pStyle w:val="FootnoteText"/>
        <w:rPr>
          <w:rFonts w:ascii="Times New Roman" w:hAnsi="Times New Roman"/>
        </w:rPr>
      </w:pPr>
      <w:r>
        <w:rPr>
          <w:rStyle w:val="FootnoteReference"/>
        </w:rPr>
        <w:footnoteRef/>
      </w:r>
      <w:r>
        <w:t xml:space="preserve"> </w:t>
      </w:r>
      <w:r w:rsidRPr="006A3AE7">
        <w:rPr>
          <w:rFonts w:ascii="Times New Roman" w:hAnsi="Times New Roman"/>
        </w:rPr>
        <w:t>(1939) 62 CLR 464 at 531 – 532</w:t>
      </w:r>
    </w:p>
  </w:footnote>
  <w:footnote w:id="2">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lang w:val="en"/>
        </w:rPr>
        <w:t>(1981) 147 CLR 589 at 599</w:t>
      </w:r>
    </w:p>
  </w:footnote>
  <w:footnote w:id="3">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lang w:val="en"/>
        </w:rPr>
        <w:t>[No 2] [1967] 1 AC 853 at 935</w:t>
      </w:r>
    </w:p>
  </w:footnote>
  <w:footnote w:id="4">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(1973) 130 CLR 355 at 453</w:t>
      </w:r>
    </w:p>
  </w:footnote>
  <w:footnote w:id="5">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(2004) 220 CLR 363, at 375</w:t>
      </w:r>
    </w:p>
  </w:footnote>
  <w:footnote w:id="6">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i/>
        </w:rPr>
        <w:t>Kuligowski</w:t>
      </w:r>
      <w:r w:rsidRPr="006A3AE7">
        <w:rPr>
          <w:rFonts w:ascii="Times New Roman" w:hAnsi="Times New Roman"/>
        </w:rPr>
        <w:t xml:space="preserve"> at 375 [25].</w:t>
      </w:r>
    </w:p>
  </w:footnote>
  <w:footnote w:id="7">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[1963] HCA 50; (1963) 109 CLR 285</w:t>
      </w:r>
    </w:p>
  </w:footnote>
  <w:footnote w:id="8">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[2011] TASSC 48</w:t>
      </w:r>
    </w:p>
  </w:footnote>
  <w:footnote w:id="9">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In some circumstances an order in an interlocutory proceeding can be "final" so as to </w:t>
      </w:r>
      <w:r w:rsidR="00B9309C" w:rsidRPr="006A3AE7">
        <w:rPr>
          <w:rFonts w:ascii="Times New Roman" w:hAnsi="Times New Roman"/>
        </w:rPr>
        <w:t>constitute</w:t>
      </w:r>
      <w:r w:rsidRPr="006A3AE7">
        <w:rPr>
          <w:rFonts w:ascii="Times New Roman" w:hAnsi="Times New Roman"/>
        </w:rPr>
        <w:t xml:space="preserve"> an issue estoppel:</w:t>
      </w:r>
      <w:r>
        <w:rPr>
          <w:rFonts w:ascii="Times New Roman" w:hAnsi="Times New Roman"/>
        </w:rPr>
        <w:t xml:space="preserve"> </w:t>
      </w:r>
      <w:r>
        <w:rPr>
          <w:rFonts w:ascii="Times New Roman" w:hAnsi="Times New Roman"/>
          <w:i/>
        </w:rPr>
        <w:t>D</w:t>
      </w:r>
      <w:r w:rsidRPr="006A3AE7">
        <w:rPr>
          <w:rFonts w:ascii="Times New Roman" w:hAnsi="Times New Roman"/>
          <w:i/>
        </w:rPr>
        <w:t>e Gelder v Rodger</w:t>
      </w:r>
      <w:r w:rsidRPr="006A3AE7">
        <w:rPr>
          <w:rFonts w:ascii="Times New Roman" w:hAnsi="Times New Roman"/>
        </w:rPr>
        <w:t xml:space="preserve"> [2014] NSWSC 872</w:t>
      </w:r>
    </w:p>
  </w:footnote>
  <w:footnote w:id="10">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(2011) 242 CLR 647.</w:t>
      </w:r>
      <w:r w:rsidR="00B73F33">
        <w:rPr>
          <w:rFonts w:ascii="Times New Roman" w:hAnsi="Times New Roman"/>
        </w:rPr>
        <w:t xml:space="preserve"> </w:t>
      </w:r>
      <w:r w:rsidRPr="006A3AE7">
        <w:rPr>
          <w:rFonts w:ascii="Times New Roman" w:hAnsi="Times New Roman"/>
        </w:rPr>
        <w:t xml:space="preserve">Distinguished in </w:t>
      </w:r>
      <w:r w:rsidRPr="006A3AE7">
        <w:rPr>
          <w:rFonts w:ascii="Times New Roman" w:hAnsi="Times New Roman"/>
          <w:bCs/>
          <w:i/>
          <w:lang w:val="en"/>
        </w:rPr>
        <w:t>Withyman v New South Wales</w:t>
      </w:r>
      <w:r w:rsidRPr="006A3AE7">
        <w:rPr>
          <w:rFonts w:ascii="Times New Roman" w:hAnsi="Times New Roman"/>
        </w:rPr>
        <w:t xml:space="preserve"> </w:t>
      </w:r>
      <w:r w:rsidRPr="006A3AE7">
        <w:rPr>
          <w:rFonts w:ascii="Times New Roman" w:hAnsi="Times New Roman"/>
          <w:lang w:val="en"/>
        </w:rPr>
        <w:t>[2013] NSWCA 10, [2013] Aust Torts Reports 82-124</w:t>
      </w:r>
    </w:p>
  </w:footnote>
  <w:footnote w:id="11">
    <w:p w:rsidR="007B3FC4" w:rsidRPr="00C531CF"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C531CF">
        <w:rPr>
          <w:rFonts w:ascii="Times New Roman" w:hAnsi="Times New Roman"/>
        </w:rPr>
        <w:t>2013) 303 ALR 64</w:t>
      </w:r>
    </w:p>
  </w:footnote>
  <w:footnote w:id="12">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(1855) 4 E. &amp; B. 780, at p. 794 [119 E.R. 288, at p. 293]</w:t>
      </w:r>
    </w:p>
  </w:footnote>
  <w:footnote w:id="13">
    <w:p w:rsidR="000056D7" w:rsidRPr="000056D7" w:rsidRDefault="000056D7">
      <w:pPr>
        <w:pStyle w:val="FootnoteText"/>
        <w:rPr>
          <w:rFonts w:ascii="Times New Roman" w:hAnsi="Times New Roman"/>
        </w:rPr>
      </w:pPr>
      <w:r>
        <w:rPr>
          <w:rStyle w:val="FootnoteReference"/>
        </w:rPr>
        <w:footnoteRef/>
      </w:r>
      <w:r>
        <w:t xml:space="preserve"> </w:t>
      </w:r>
      <w:r w:rsidRPr="000056D7">
        <w:rPr>
          <w:rFonts w:ascii="Times New Roman" w:hAnsi="Times New Roman"/>
        </w:rPr>
        <w:t>At 532</w:t>
      </w:r>
    </w:p>
  </w:footnote>
  <w:footnote w:id="14">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[2006] TASSC 65</w:t>
      </w:r>
    </w:p>
  </w:footnote>
  <w:footnote w:id="15">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iCs/>
        </w:rPr>
        <w:t>[1968] HCA 34; (1968) 118 CLR 271 at 276</w:t>
      </w:r>
    </w:p>
  </w:footnote>
  <w:footnote w:id="16">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i/>
          <w:iCs/>
        </w:rPr>
        <w:t xml:space="preserve">Tasmania Feedlot Pty Ltd v Stagg </w:t>
      </w:r>
      <w:r w:rsidRPr="006A3AE7">
        <w:rPr>
          <w:rFonts w:ascii="Times New Roman" w:hAnsi="Times New Roman"/>
        </w:rPr>
        <w:t xml:space="preserve">[2011] TASSC 48 at [17]; </w:t>
      </w:r>
      <w:r w:rsidRPr="006A3AE7">
        <w:rPr>
          <w:rFonts w:ascii="Times New Roman" w:hAnsi="Times New Roman"/>
          <w:i/>
        </w:rPr>
        <w:t>Marshall v Prescott (No 3)</w:t>
      </w:r>
      <w:r w:rsidRPr="006A3AE7">
        <w:rPr>
          <w:rFonts w:ascii="Times New Roman" w:hAnsi="Times New Roman"/>
        </w:rPr>
        <w:t xml:space="preserve"> [2013] NSWSC 1949</w:t>
      </w:r>
    </w:p>
  </w:footnote>
  <w:footnote w:id="17">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iCs/>
        </w:rPr>
        <w:t>(1939) 59 CLR 744</w:t>
      </w:r>
    </w:p>
  </w:footnote>
  <w:footnote w:id="18">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i/>
          <w:iCs/>
          <w:lang w:val="en"/>
        </w:rPr>
        <w:t>AMP Workers Compensation Services Ltd v Chalkley</w:t>
      </w:r>
      <w:r w:rsidRPr="006A3AE7">
        <w:rPr>
          <w:rFonts w:ascii="Times New Roman" w:hAnsi="Times New Roman"/>
          <w:lang w:val="en"/>
        </w:rPr>
        <w:t xml:space="preserve"> [1998] VSC 29</w:t>
      </w:r>
    </w:p>
  </w:footnote>
  <w:footnote w:id="19">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i/>
          <w:iCs/>
          <w:lang w:val="en"/>
        </w:rPr>
        <w:t>Waddington v Silver Chain Nursing Assn</w:t>
      </w:r>
      <w:r w:rsidRPr="006A3AE7">
        <w:rPr>
          <w:rFonts w:ascii="Times New Roman" w:hAnsi="Times New Roman"/>
          <w:lang w:val="en"/>
        </w:rPr>
        <w:t xml:space="preserve"> (1998) 20 WAR 269</w:t>
      </w:r>
    </w:p>
  </w:footnote>
  <w:footnote w:id="20">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i/>
          <w:iCs/>
          <w:lang w:val="en"/>
        </w:rPr>
        <w:t>United Construction Pty Ltd v Maketic</w:t>
      </w:r>
      <w:r w:rsidRPr="006A3AE7">
        <w:rPr>
          <w:rFonts w:ascii="Times New Roman" w:hAnsi="Times New Roman"/>
          <w:lang w:val="en"/>
        </w:rPr>
        <w:t xml:space="preserve"> [2003] WASCA 138</w:t>
      </w:r>
    </w:p>
  </w:footnote>
  <w:footnote w:id="21">
    <w:p w:rsidR="007B3FC4" w:rsidRPr="006A3AE7" w:rsidRDefault="007B3FC4" w:rsidP="00C61443">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S134</w:t>
      </w:r>
    </w:p>
  </w:footnote>
  <w:footnote w:id="22">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bCs/>
          <w:i/>
        </w:rPr>
        <w:t>Motor Accidents (Liabilities and Compensation) Act</w:t>
      </w:r>
      <w:r w:rsidRPr="006A3AE7">
        <w:rPr>
          <w:rFonts w:ascii="Times New Roman" w:hAnsi="Times New Roman"/>
          <w:bCs/>
        </w:rPr>
        <w:t xml:space="preserve"> 1973, s28B and s28C</w:t>
      </w:r>
    </w:p>
  </w:footnote>
  <w:footnote w:id="23">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i/>
          <w:iCs/>
        </w:rPr>
        <w:t xml:space="preserve">Arnold v National Westminster Bank PLC </w:t>
      </w:r>
      <w:r w:rsidRPr="006A3AE7">
        <w:rPr>
          <w:rFonts w:ascii="Times New Roman" w:hAnsi="Times New Roman"/>
          <w:iCs/>
        </w:rPr>
        <w:t>{1991} 2 AC 93, per Lord Keith at 107.</w:t>
      </w:r>
      <w:r w:rsidR="00B73F33">
        <w:rPr>
          <w:rFonts w:ascii="Times New Roman" w:hAnsi="Times New Roman"/>
          <w:iCs/>
        </w:rPr>
        <w:t xml:space="preserve"> </w:t>
      </w:r>
      <w:r w:rsidRPr="006A3AE7">
        <w:rPr>
          <w:rFonts w:ascii="Times New Roman" w:hAnsi="Times New Roman"/>
          <w:iCs/>
        </w:rPr>
        <w:t xml:space="preserve">His Lordship referred to Wigram VC in </w:t>
      </w:r>
      <w:r w:rsidRPr="006A3AE7">
        <w:rPr>
          <w:rFonts w:ascii="Times New Roman" w:hAnsi="Times New Roman"/>
          <w:i/>
          <w:iCs/>
        </w:rPr>
        <w:t>Henderson v Henderson</w:t>
      </w:r>
      <w:r w:rsidRPr="006A3AE7">
        <w:rPr>
          <w:rFonts w:ascii="Times New Roman" w:hAnsi="Times New Roman"/>
          <w:iCs/>
        </w:rPr>
        <w:t xml:space="preserve"> [1843] EngR 917; (1843) 3 Hare 100 at 114-115.</w:t>
      </w:r>
    </w:p>
  </w:footnote>
  <w:footnote w:id="24">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i/>
          <w:iCs/>
        </w:rPr>
        <w:t>O'Toole v Charles David Pty Ltd</w:t>
      </w:r>
      <w:r w:rsidRPr="006A3AE7">
        <w:rPr>
          <w:rFonts w:ascii="Times New Roman" w:hAnsi="Times New Roman"/>
        </w:rPr>
        <w:t xml:space="preserve"> [1991] HCA 14; 171 CLR 232 at 258, per Brennan J.</w:t>
      </w:r>
      <w:r w:rsidR="00B73F33">
        <w:rPr>
          <w:rFonts w:ascii="Times New Roman" w:hAnsi="Times New Roman"/>
        </w:rPr>
        <w:t xml:space="preserve"> </w:t>
      </w:r>
      <w:r w:rsidRPr="006A3AE7">
        <w:rPr>
          <w:rFonts w:ascii="Times New Roman" w:hAnsi="Times New Roman"/>
        </w:rPr>
        <w:t>See also Callaway JA</w:t>
      </w:r>
      <w:r w:rsidRPr="006A3AE7">
        <w:rPr>
          <w:rFonts w:ascii="Times New Roman" w:hAnsi="Times New Roman"/>
          <w:i/>
          <w:iCs/>
        </w:rPr>
        <w:t xml:space="preserve"> </w:t>
      </w:r>
      <w:r w:rsidRPr="006A3AE7">
        <w:rPr>
          <w:rFonts w:ascii="Times New Roman" w:hAnsi="Times New Roman"/>
        </w:rPr>
        <w:t xml:space="preserve">in </w:t>
      </w:r>
      <w:r w:rsidRPr="006A3AE7">
        <w:rPr>
          <w:rFonts w:ascii="Times New Roman" w:hAnsi="Times New Roman"/>
          <w:i/>
          <w:iCs/>
        </w:rPr>
        <w:t xml:space="preserve">Linsley v Petrie </w:t>
      </w:r>
      <w:r w:rsidRPr="006A3AE7">
        <w:rPr>
          <w:rFonts w:ascii="Times New Roman" w:hAnsi="Times New Roman"/>
        </w:rPr>
        <w:t xml:space="preserve">[1998] 1 VR 427 at 449 and Murray ACJ in </w:t>
      </w:r>
      <w:r w:rsidRPr="006A3AE7">
        <w:rPr>
          <w:rFonts w:ascii="Times New Roman" w:hAnsi="Times New Roman"/>
          <w:i/>
          <w:iCs/>
        </w:rPr>
        <w:t xml:space="preserve">Squires Transport Pty Ltd v Turnor </w:t>
      </w:r>
      <w:r w:rsidRPr="006A3AE7">
        <w:rPr>
          <w:rFonts w:ascii="Times New Roman" w:hAnsi="Times New Roman"/>
        </w:rPr>
        <w:t>[2004] WASCA 245 at [5].</w:t>
      </w:r>
      <w:r w:rsidRPr="006A3AE7">
        <w:rPr>
          <w:rFonts w:ascii="Times New Roman" w:hAnsi="Times New Roman"/>
          <w:sz w:val="22"/>
          <w:szCs w:val="22"/>
        </w:rPr>
        <w:t xml:space="preserve"> </w:t>
      </w:r>
      <w:r w:rsidRPr="006A3AE7">
        <w:rPr>
          <w:rFonts w:ascii="Times New Roman" w:hAnsi="Times New Roman"/>
        </w:rPr>
        <w:t xml:space="preserve">More recently, in </w:t>
      </w:r>
      <w:r w:rsidRPr="006A3AE7">
        <w:rPr>
          <w:rFonts w:ascii="Times New Roman" w:hAnsi="Times New Roman"/>
          <w:i/>
          <w:iCs/>
        </w:rPr>
        <w:t>Cassegrain v Gerard Cassegrain &amp; Co Pty Limited</w:t>
      </w:r>
      <w:r w:rsidRPr="006A3AE7">
        <w:rPr>
          <w:rFonts w:ascii="Times New Roman" w:hAnsi="Times New Roman"/>
        </w:rPr>
        <w:t xml:space="preserve"> [2013] NSWCA 454, it was assumed but not decided that there may be exceptions to the application of an issue estoppel in special circumstances: see at [96]-[98].</w:t>
      </w:r>
      <w:r w:rsidR="00B73F33">
        <w:rPr>
          <w:rFonts w:ascii="Times New Roman" w:hAnsi="Times New Roman"/>
        </w:rPr>
        <w:t xml:space="preserve"> </w:t>
      </w:r>
      <w:r w:rsidRPr="006A3AE7">
        <w:rPr>
          <w:rFonts w:ascii="Times New Roman" w:hAnsi="Times New Roman"/>
        </w:rPr>
        <w:t xml:space="preserve">Refer also to the discussion in </w:t>
      </w:r>
      <w:r w:rsidRPr="006A3AE7">
        <w:rPr>
          <w:rFonts w:ascii="Times New Roman" w:hAnsi="Times New Roman"/>
          <w:i/>
        </w:rPr>
        <w:t>Commonwealth of Australia v Cockatoo Dockyard Pty Ltd</w:t>
      </w:r>
      <w:r w:rsidRPr="006A3AE7">
        <w:rPr>
          <w:rFonts w:ascii="Times New Roman" w:hAnsi="Times New Roman"/>
        </w:rPr>
        <w:t xml:space="preserve"> [2006] NSWCA 322.</w:t>
      </w:r>
    </w:p>
  </w:footnote>
  <w:footnote w:id="25">
    <w:p w:rsidR="007B3FC4" w:rsidRPr="006A3AE7" w:rsidRDefault="007B3FC4" w:rsidP="001808B9">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i/>
          <w:iCs/>
        </w:rPr>
        <w:t>Tuifino v Warland</w:t>
      </w:r>
      <w:r w:rsidRPr="006A3AE7">
        <w:rPr>
          <w:rFonts w:ascii="Times New Roman" w:hAnsi="Times New Roman"/>
        </w:rPr>
        <w:t xml:space="preserve"> </w:t>
      </w:r>
      <w:r w:rsidRPr="006A3AE7">
        <w:rPr>
          <w:rFonts w:ascii="Times New Roman" w:hAnsi="Times New Roman"/>
          <w:bCs/>
        </w:rPr>
        <w:t>[2000] NSWCA 110</w:t>
      </w:r>
      <w:r w:rsidRPr="006A3AE7">
        <w:rPr>
          <w:rFonts w:ascii="Times New Roman" w:hAnsi="Times New Roman"/>
        </w:rPr>
        <w:t xml:space="preserve">; </w:t>
      </w:r>
      <w:r w:rsidRPr="006A3AE7">
        <w:rPr>
          <w:rFonts w:ascii="Times New Roman" w:hAnsi="Times New Roman"/>
          <w:bCs/>
        </w:rPr>
        <w:t xml:space="preserve">50 NSWLR 104 </w:t>
      </w:r>
      <w:r w:rsidRPr="006A3AE7">
        <w:rPr>
          <w:rFonts w:ascii="Times New Roman" w:hAnsi="Times New Roman"/>
        </w:rPr>
        <w:t>at [27];</w:t>
      </w:r>
      <w:r w:rsidRPr="006A3AE7">
        <w:rPr>
          <w:rFonts w:ascii="Times New Roman" w:hAnsi="Times New Roman"/>
          <w:sz w:val="22"/>
          <w:szCs w:val="22"/>
        </w:rPr>
        <w:t xml:space="preserve"> </w:t>
      </w:r>
      <w:r w:rsidRPr="006A3AE7">
        <w:rPr>
          <w:rFonts w:ascii="Times New Roman" w:hAnsi="Times New Roman"/>
          <w:i/>
        </w:rPr>
        <w:t>Charafeddine v Morgan</w:t>
      </w:r>
      <w:r w:rsidRPr="006A3AE7">
        <w:rPr>
          <w:rFonts w:ascii="Times New Roman" w:hAnsi="Times New Roman"/>
        </w:rPr>
        <w:t xml:space="preserve"> [2014] NSWCA 74.</w:t>
      </w:r>
      <w:r w:rsidR="00B73F33">
        <w:rPr>
          <w:rFonts w:ascii="Times New Roman" w:hAnsi="Times New Roman"/>
        </w:rPr>
        <w:t xml:space="preserve"> </w:t>
      </w:r>
      <w:r w:rsidRPr="006A3AE7">
        <w:rPr>
          <w:rFonts w:ascii="Times New Roman" w:hAnsi="Times New Roman"/>
        </w:rPr>
        <w:t xml:space="preserve">There is authority to the contrary in </w:t>
      </w:r>
      <w:r w:rsidRPr="006A3AE7">
        <w:rPr>
          <w:rFonts w:ascii="Times New Roman" w:hAnsi="Times New Roman"/>
          <w:i/>
        </w:rPr>
        <w:t>Linsley v Petrie</w:t>
      </w:r>
      <w:r w:rsidRPr="006A3AE7">
        <w:rPr>
          <w:rFonts w:ascii="Times New Roman" w:hAnsi="Times New Roman"/>
        </w:rPr>
        <w:t xml:space="preserve"> {1998} 1 VR 427.</w:t>
      </w:r>
    </w:p>
  </w:footnote>
  <w:footnote w:id="26">
    <w:p w:rsidR="007B3FC4" w:rsidRPr="006A3AE7" w:rsidRDefault="007B3FC4" w:rsidP="001808B9">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See </w:t>
      </w:r>
      <w:r w:rsidRPr="006A3AE7">
        <w:rPr>
          <w:rFonts w:ascii="Times New Roman" w:hAnsi="Times New Roman"/>
          <w:bCs/>
          <w:i/>
        </w:rPr>
        <w:t>Magistrates Court (Civil Division) Act</w:t>
      </w:r>
      <w:r w:rsidRPr="006A3AE7">
        <w:rPr>
          <w:rFonts w:ascii="Times New Roman" w:hAnsi="Times New Roman"/>
          <w:bCs/>
        </w:rPr>
        <w:t xml:space="preserve"> 1992, Part 5, Division 4.</w:t>
      </w:r>
      <w:r w:rsidR="00B73F33">
        <w:rPr>
          <w:rFonts w:ascii="Times New Roman" w:hAnsi="Times New Roman"/>
          <w:bCs/>
        </w:rPr>
        <w:t xml:space="preserve"> </w:t>
      </w:r>
      <w:r w:rsidRPr="006A3AE7">
        <w:rPr>
          <w:rFonts w:ascii="Times New Roman" w:hAnsi="Times New Roman"/>
          <w:bCs/>
        </w:rPr>
        <w:t>In such proceedings the court is not bound by the rules of evidence, may proceed by inquiry, with expedition and little formality and technicality.</w:t>
      </w:r>
    </w:p>
  </w:footnote>
  <w:footnote w:id="27">
    <w:p w:rsidR="007B3FC4" w:rsidRPr="006A3AE7" w:rsidRDefault="007B3FC4" w:rsidP="001808B9">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w:t>
      </w:r>
      <w:r w:rsidRPr="006A3AE7">
        <w:rPr>
          <w:rFonts w:ascii="Times New Roman" w:hAnsi="Times New Roman"/>
          <w:bCs/>
          <w:i/>
        </w:rPr>
        <w:t>Magistrates Court (Civil Division) Act</w:t>
      </w:r>
      <w:r w:rsidRPr="006A3AE7">
        <w:rPr>
          <w:rFonts w:ascii="Times New Roman" w:hAnsi="Times New Roman"/>
          <w:bCs/>
        </w:rPr>
        <w:t xml:space="preserve"> 1992, s</w:t>
      </w:r>
      <w:r w:rsidRPr="006A3AE7">
        <w:rPr>
          <w:rFonts w:ascii="Times New Roman" w:hAnsi="Times New Roman"/>
          <w:bCs/>
          <w:iCs/>
        </w:rPr>
        <w:t>31AG. Estoppel</w:t>
      </w:r>
      <w:r w:rsidRPr="006A3AE7">
        <w:rPr>
          <w:rFonts w:ascii="Times New Roman" w:hAnsi="Times New Roman"/>
          <w:b/>
          <w:bCs/>
          <w:iCs/>
        </w:rPr>
        <w:t xml:space="preserve"> </w:t>
      </w:r>
      <w:r w:rsidRPr="006A3AE7">
        <w:rPr>
          <w:rFonts w:ascii="Times New Roman" w:hAnsi="Times New Roman"/>
          <w:i/>
          <w:iCs/>
        </w:rPr>
        <w:t xml:space="preserve">[Section 31AG of Part 5 Inserted by No. 53 of 2003, s. 11, Applied:25 Sep 2003] </w:t>
      </w:r>
    </w:p>
  </w:footnote>
  <w:footnote w:id="28">
    <w:p w:rsidR="007B3FC4" w:rsidRPr="006A3AE7" w:rsidRDefault="007B3FC4" w:rsidP="00520215">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S12</w:t>
      </w:r>
    </w:p>
  </w:footnote>
  <w:footnote w:id="29">
    <w:p w:rsidR="007B3FC4" w:rsidRPr="006A3AE7" w:rsidRDefault="007B3FC4" w:rsidP="00520215">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S28(2) and (3)</w:t>
      </w:r>
    </w:p>
  </w:footnote>
  <w:footnote w:id="30">
    <w:p w:rsidR="007B3FC4" w:rsidRPr="006A3AE7" w:rsidRDefault="007B3FC4" w:rsidP="00520215">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S23.</w:t>
      </w:r>
      <w:r w:rsidR="00B73F33">
        <w:rPr>
          <w:rFonts w:ascii="Times New Roman" w:hAnsi="Times New Roman"/>
        </w:rPr>
        <w:t xml:space="preserve"> </w:t>
      </w:r>
      <w:r w:rsidRPr="006A3AE7">
        <w:rPr>
          <w:rFonts w:ascii="Times New Roman" w:hAnsi="Times New Roman"/>
        </w:rPr>
        <w:t>See also s2(4)</w:t>
      </w:r>
    </w:p>
  </w:footnote>
  <w:footnote w:id="31">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S25(1)(a) and s3.</w:t>
      </w:r>
    </w:p>
  </w:footnote>
  <w:footnote w:id="32">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S25(1)(a)</w:t>
      </w:r>
    </w:p>
  </w:footnote>
  <w:footnote w:id="33">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S25(1)(a)</w:t>
      </w:r>
    </w:p>
  </w:footnote>
  <w:footnote w:id="34">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S67</w:t>
      </w:r>
    </w:p>
  </w:footnote>
  <w:footnote w:id="35">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S69</w:t>
      </w:r>
    </w:p>
  </w:footnote>
  <w:footnote w:id="36">
    <w:p w:rsidR="007B3FC4" w:rsidRPr="00C531CF" w:rsidRDefault="007B3FC4" w:rsidP="00C531CF">
      <w:pPr>
        <w:pStyle w:val="FootnoteText"/>
        <w:rPr>
          <w:rFonts w:ascii="Times New Roman" w:hAnsi="Times New Roman"/>
        </w:rPr>
      </w:pPr>
      <w:r w:rsidRPr="00C531CF">
        <w:rPr>
          <w:rStyle w:val="FootnoteReference"/>
          <w:rFonts w:ascii="Times New Roman" w:hAnsi="Times New Roman"/>
        </w:rPr>
        <w:footnoteRef/>
      </w:r>
      <w:r w:rsidRPr="00C531CF">
        <w:rPr>
          <w:rFonts w:ascii="Times New Roman" w:hAnsi="Times New Roman"/>
        </w:rPr>
        <w:t xml:space="preserve"> </w:t>
      </w:r>
      <w:r>
        <w:rPr>
          <w:rFonts w:ascii="Times New Roman" w:hAnsi="Times New Roman"/>
        </w:rPr>
        <w:t>S133</w:t>
      </w:r>
      <w:r w:rsidRPr="00C531CF">
        <w:rPr>
          <w:rFonts w:ascii="Times New Roman" w:hAnsi="Times New Roman"/>
        </w:rPr>
        <w:t>(</w:t>
      </w:r>
      <w:r>
        <w:rPr>
          <w:rFonts w:ascii="Times New Roman" w:hAnsi="Times New Roman"/>
        </w:rPr>
        <w:t>1)</w:t>
      </w:r>
    </w:p>
  </w:footnote>
  <w:footnote w:id="37">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Part X Division 2.</w:t>
      </w:r>
    </w:p>
  </w:footnote>
  <w:footnote w:id="38">
    <w:p w:rsidR="007B3FC4" w:rsidRPr="006A3AE7" w:rsidRDefault="007B3FC4">
      <w:pPr>
        <w:pStyle w:val="FootnoteText"/>
        <w:rPr>
          <w:rFonts w:ascii="Times New Roman" w:hAnsi="Times New Roman"/>
        </w:rPr>
      </w:pPr>
      <w:r w:rsidRPr="006A3AE7">
        <w:rPr>
          <w:rStyle w:val="FootnoteReference"/>
          <w:rFonts w:ascii="Times New Roman" w:hAnsi="Times New Roman"/>
        </w:rPr>
        <w:footnoteRef/>
      </w:r>
      <w:r w:rsidRPr="006A3AE7">
        <w:rPr>
          <w:rFonts w:ascii="Times New Roman" w:hAnsi="Times New Roman"/>
        </w:rPr>
        <w:t xml:space="preserve"> S138AB (2) and (3)</w:t>
      </w:r>
    </w:p>
  </w:footnote>
  <w:footnote w:id="39">
    <w:p w:rsidR="007B3FC4" w:rsidRPr="00EA3451" w:rsidRDefault="007B3FC4" w:rsidP="009C2BE5">
      <w:pPr>
        <w:pStyle w:val="FootnoteText"/>
        <w:rPr>
          <w:rFonts w:ascii="Times New Roman" w:hAnsi="Times New Roman"/>
        </w:rPr>
      </w:pPr>
      <w:r>
        <w:rPr>
          <w:rStyle w:val="FootnoteReference"/>
        </w:rPr>
        <w:footnoteRef/>
      </w:r>
      <w:r>
        <w:t xml:space="preserve"> </w:t>
      </w:r>
      <w:r w:rsidRPr="00EA3451">
        <w:rPr>
          <w:rFonts w:ascii="Times New Roman" w:hAnsi="Times New Roman"/>
        </w:rPr>
        <w:t>The reference to "the injury" in s138AB(3) relates back to the injury referred to in s138AB(2).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040"/>
    <w:multiLevelType w:val="hybridMultilevel"/>
    <w:tmpl w:val="9D843854"/>
    <w:lvl w:ilvl="0" w:tplc="02220F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D5EE6"/>
    <w:multiLevelType w:val="multilevel"/>
    <w:tmpl w:val="BCB64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74689"/>
    <w:multiLevelType w:val="hybridMultilevel"/>
    <w:tmpl w:val="5BEA90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C460A6"/>
    <w:multiLevelType w:val="hybridMultilevel"/>
    <w:tmpl w:val="0C1E20C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CFE61A4"/>
    <w:multiLevelType w:val="hybridMultilevel"/>
    <w:tmpl w:val="2A7C21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537091"/>
    <w:multiLevelType w:val="hybridMultilevel"/>
    <w:tmpl w:val="85FE0B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EB47B27"/>
    <w:multiLevelType w:val="hybridMultilevel"/>
    <w:tmpl w:val="14D242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2D3C5D"/>
    <w:multiLevelType w:val="hybridMultilevel"/>
    <w:tmpl w:val="0E3C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780E8B"/>
    <w:multiLevelType w:val="hybridMultilevel"/>
    <w:tmpl w:val="3B909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A834C3"/>
    <w:multiLevelType w:val="multilevel"/>
    <w:tmpl w:val="9BF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B554FE"/>
    <w:multiLevelType w:val="multilevel"/>
    <w:tmpl w:val="9CF6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1D58F2"/>
    <w:multiLevelType w:val="multilevel"/>
    <w:tmpl w:val="024C5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854CC5"/>
    <w:multiLevelType w:val="multilevel"/>
    <w:tmpl w:val="D520C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9F0933"/>
    <w:multiLevelType w:val="multilevel"/>
    <w:tmpl w:val="59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7C31D6"/>
    <w:multiLevelType w:val="hybridMultilevel"/>
    <w:tmpl w:val="587A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8"/>
  </w:num>
  <w:num w:numId="5">
    <w:abstractNumId w:val="0"/>
  </w:num>
  <w:num w:numId="6">
    <w:abstractNumId w:val="6"/>
  </w:num>
  <w:num w:numId="7">
    <w:abstractNumId w:val="3"/>
  </w:num>
  <w:num w:numId="8">
    <w:abstractNumId w:val="1"/>
    <w:lvlOverride w:ilvl="0">
      <w:startOverride w:val="22"/>
    </w:lvlOverride>
  </w:num>
  <w:num w:numId="9">
    <w:abstractNumId w:val="12"/>
    <w:lvlOverride w:ilvl="0">
      <w:startOverride w:val="23"/>
    </w:lvlOverride>
  </w:num>
  <w:num w:numId="10">
    <w:abstractNumId w:val="11"/>
    <w:lvlOverride w:ilvl="0">
      <w:startOverride w:val="24"/>
    </w:lvlOverride>
  </w:num>
  <w:num w:numId="11">
    <w:abstractNumId w:val="13"/>
    <w:lvlOverride w:ilvl="0">
      <w:startOverride w:val="25"/>
    </w:lvlOverride>
  </w:num>
  <w:num w:numId="12">
    <w:abstractNumId w:val="10"/>
    <w:lvlOverride w:ilvl="0">
      <w:startOverride w:val="26"/>
    </w:lvlOverride>
  </w:num>
  <w:num w:numId="13">
    <w:abstractNumId w:val="1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A4"/>
    <w:rsid w:val="00002FB8"/>
    <w:rsid w:val="000056D7"/>
    <w:rsid w:val="00005F92"/>
    <w:rsid w:val="000232BF"/>
    <w:rsid w:val="0004166B"/>
    <w:rsid w:val="00046317"/>
    <w:rsid w:val="00052E1A"/>
    <w:rsid w:val="00060488"/>
    <w:rsid w:val="0007123B"/>
    <w:rsid w:val="00075A51"/>
    <w:rsid w:val="00083AC0"/>
    <w:rsid w:val="000A255B"/>
    <w:rsid w:val="000F0A7A"/>
    <w:rsid w:val="000F2206"/>
    <w:rsid w:val="001370C9"/>
    <w:rsid w:val="00143BB6"/>
    <w:rsid w:val="00144320"/>
    <w:rsid w:val="00152573"/>
    <w:rsid w:val="00153B88"/>
    <w:rsid w:val="001563CD"/>
    <w:rsid w:val="001808B9"/>
    <w:rsid w:val="00187F3B"/>
    <w:rsid w:val="001938AA"/>
    <w:rsid w:val="001B4232"/>
    <w:rsid w:val="001C1016"/>
    <w:rsid w:val="001D0CBC"/>
    <w:rsid w:val="001D482F"/>
    <w:rsid w:val="001F21EA"/>
    <w:rsid w:val="00223E90"/>
    <w:rsid w:val="002303F2"/>
    <w:rsid w:val="0023758F"/>
    <w:rsid w:val="0024777C"/>
    <w:rsid w:val="00257764"/>
    <w:rsid w:val="00263266"/>
    <w:rsid w:val="00263527"/>
    <w:rsid w:val="00276907"/>
    <w:rsid w:val="00282409"/>
    <w:rsid w:val="002A07BE"/>
    <w:rsid w:val="002C07A4"/>
    <w:rsid w:val="002C5078"/>
    <w:rsid w:val="002C6A08"/>
    <w:rsid w:val="002D25C8"/>
    <w:rsid w:val="002E013D"/>
    <w:rsid w:val="002E58A2"/>
    <w:rsid w:val="002F5932"/>
    <w:rsid w:val="0031348D"/>
    <w:rsid w:val="003249C9"/>
    <w:rsid w:val="00325BEF"/>
    <w:rsid w:val="0032707C"/>
    <w:rsid w:val="00331319"/>
    <w:rsid w:val="003355A0"/>
    <w:rsid w:val="0035692C"/>
    <w:rsid w:val="003A5D98"/>
    <w:rsid w:val="003B0359"/>
    <w:rsid w:val="003B1AA8"/>
    <w:rsid w:val="003C002B"/>
    <w:rsid w:val="003D0BA4"/>
    <w:rsid w:val="003D5CCB"/>
    <w:rsid w:val="003F26FF"/>
    <w:rsid w:val="004118B1"/>
    <w:rsid w:val="0042269E"/>
    <w:rsid w:val="00424E52"/>
    <w:rsid w:val="00454D66"/>
    <w:rsid w:val="00463988"/>
    <w:rsid w:val="00472625"/>
    <w:rsid w:val="004A7D4B"/>
    <w:rsid w:val="004B12F2"/>
    <w:rsid w:val="004B2DF2"/>
    <w:rsid w:val="004B5A9D"/>
    <w:rsid w:val="004D6659"/>
    <w:rsid w:val="004E3251"/>
    <w:rsid w:val="004E4305"/>
    <w:rsid w:val="004E653C"/>
    <w:rsid w:val="004F0E67"/>
    <w:rsid w:val="00502744"/>
    <w:rsid w:val="005122A9"/>
    <w:rsid w:val="00516F65"/>
    <w:rsid w:val="00520215"/>
    <w:rsid w:val="005206F5"/>
    <w:rsid w:val="005572B0"/>
    <w:rsid w:val="005661EF"/>
    <w:rsid w:val="00566AC9"/>
    <w:rsid w:val="0058195E"/>
    <w:rsid w:val="00586147"/>
    <w:rsid w:val="005A185D"/>
    <w:rsid w:val="005C0CAC"/>
    <w:rsid w:val="00604532"/>
    <w:rsid w:val="00611D54"/>
    <w:rsid w:val="00627E3F"/>
    <w:rsid w:val="006402BC"/>
    <w:rsid w:val="0064272B"/>
    <w:rsid w:val="006512C9"/>
    <w:rsid w:val="00677C7F"/>
    <w:rsid w:val="006A3AE7"/>
    <w:rsid w:val="006B5427"/>
    <w:rsid w:val="007240AE"/>
    <w:rsid w:val="00730372"/>
    <w:rsid w:val="00760388"/>
    <w:rsid w:val="007631D4"/>
    <w:rsid w:val="00772C7C"/>
    <w:rsid w:val="00795B6C"/>
    <w:rsid w:val="007A0C4F"/>
    <w:rsid w:val="007A21C3"/>
    <w:rsid w:val="007A5D4A"/>
    <w:rsid w:val="007B1EC8"/>
    <w:rsid w:val="007B3FC4"/>
    <w:rsid w:val="007B5E7C"/>
    <w:rsid w:val="007C42F0"/>
    <w:rsid w:val="007D7325"/>
    <w:rsid w:val="007E583F"/>
    <w:rsid w:val="007E700D"/>
    <w:rsid w:val="007F0838"/>
    <w:rsid w:val="007F3358"/>
    <w:rsid w:val="00806DA5"/>
    <w:rsid w:val="00817310"/>
    <w:rsid w:val="00821ED0"/>
    <w:rsid w:val="00822480"/>
    <w:rsid w:val="008244A0"/>
    <w:rsid w:val="0088092B"/>
    <w:rsid w:val="00885656"/>
    <w:rsid w:val="00887092"/>
    <w:rsid w:val="00895DA3"/>
    <w:rsid w:val="008B55E2"/>
    <w:rsid w:val="008C7073"/>
    <w:rsid w:val="008E74F7"/>
    <w:rsid w:val="008E782A"/>
    <w:rsid w:val="00902E4F"/>
    <w:rsid w:val="00912BBC"/>
    <w:rsid w:val="00946657"/>
    <w:rsid w:val="0094766D"/>
    <w:rsid w:val="00966F30"/>
    <w:rsid w:val="00972F55"/>
    <w:rsid w:val="009750CE"/>
    <w:rsid w:val="0098342F"/>
    <w:rsid w:val="00996603"/>
    <w:rsid w:val="009A14F1"/>
    <w:rsid w:val="009C2BE5"/>
    <w:rsid w:val="009D0F1C"/>
    <w:rsid w:val="009D4F98"/>
    <w:rsid w:val="009E3A1A"/>
    <w:rsid w:val="009E4F8D"/>
    <w:rsid w:val="009F12A1"/>
    <w:rsid w:val="009F6D1D"/>
    <w:rsid w:val="00A21CCE"/>
    <w:rsid w:val="00A60837"/>
    <w:rsid w:val="00A87953"/>
    <w:rsid w:val="00A90E69"/>
    <w:rsid w:val="00A934A9"/>
    <w:rsid w:val="00AC579F"/>
    <w:rsid w:val="00B01515"/>
    <w:rsid w:val="00B04DA9"/>
    <w:rsid w:val="00B34DCA"/>
    <w:rsid w:val="00B450E5"/>
    <w:rsid w:val="00B502F1"/>
    <w:rsid w:val="00B52705"/>
    <w:rsid w:val="00B73F23"/>
    <w:rsid w:val="00B73F33"/>
    <w:rsid w:val="00B745DC"/>
    <w:rsid w:val="00B748A0"/>
    <w:rsid w:val="00B75C38"/>
    <w:rsid w:val="00B810A9"/>
    <w:rsid w:val="00B9309C"/>
    <w:rsid w:val="00B9314B"/>
    <w:rsid w:val="00BA2D59"/>
    <w:rsid w:val="00BC0874"/>
    <w:rsid w:val="00BE693F"/>
    <w:rsid w:val="00BF2D42"/>
    <w:rsid w:val="00C05ACD"/>
    <w:rsid w:val="00C30146"/>
    <w:rsid w:val="00C3054D"/>
    <w:rsid w:val="00C41B75"/>
    <w:rsid w:val="00C51593"/>
    <w:rsid w:val="00C531CF"/>
    <w:rsid w:val="00C54A6C"/>
    <w:rsid w:val="00C61443"/>
    <w:rsid w:val="00C72242"/>
    <w:rsid w:val="00C85F4C"/>
    <w:rsid w:val="00CD1240"/>
    <w:rsid w:val="00CD5820"/>
    <w:rsid w:val="00CE7DB7"/>
    <w:rsid w:val="00CF0BB7"/>
    <w:rsid w:val="00D13B0F"/>
    <w:rsid w:val="00D223F9"/>
    <w:rsid w:val="00D26773"/>
    <w:rsid w:val="00D3650B"/>
    <w:rsid w:val="00D44EFE"/>
    <w:rsid w:val="00D45C55"/>
    <w:rsid w:val="00D52A16"/>
    <w:rsid w:val="00D6716A"/>
    <w:rsid w:val="00D77B4E"/>
    <w:rsid w:val="00D86741"/>
    <w:rsid w:val="00D91524"/>
    <w:rsid w:val="00DA24D9"/>
    <w:rsid w:val="00DA2FAC"/>
    <w:rsid w:val="00DC454F"/>
    <w:rsid w:val="00DC488D"/>
    <w:rsid w:val="00DC50BC"/>
    <w:rsid w:val="00DD7240"/>
    <w:rsid w:val="00E029FF"/>
    <w:rsid w:val="00E04A67"/>
    <w:rsid w:val="00E12B6B"/>
    <w:rsid w:val="00E2727F"/>
    <w:rsid w:val="00E34458"/>
    <w:rsid w:val="00E4607E"/>
    <w:rsid w:val="00E51DBD"/>
    <w:rsid w:val="00E65488"/>
    <w:rsid w:val="00E6657A"/>
    <w:rsid w:val="00E74C62"/>
    <w:rsid w:val="00E75A36"/>
    <w:rsid w:val="00E76F70"/>
    <w:rsid w:val="00E85EB4"/>
    <w:rsid w:val="00E91556"/>
    <w:rsid w:val="00EA0387"/>
    <w:rsid w:val="00EA3451"/>
    <w:rsid w:val="00EC2B79"/>
    <w:rsid w:val="00ED3E60"/>
    <w:rsid w:val="00EE2C61"/>
    <w:rsid w:val="00EF1F09"/>
    <w:rsid w:val="00F1217A"/>
    <w:rsid w:val="00F162CA"/>
    <w:rsid w:val="00F22662"/>
    <w:rsid w:val="00F23E5C"/>
    <w:rsid w:val="00F3238B"/>
    <w:rsid w:val="00F45831"/>
    <w:rsid w:val="00F50C57"/>
    <w:rsid w:val="00F61EE2"/>
    <w:rsid w:val="00F745F8"/>
    <w:rsid w:val="00FA4EE1"/>
    <w:rsid w:val="00FE665E"/>
    <w:rsid w:val="00FF29C1"/>
    <w:rsid w:val="00FF6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C9F11-9032-4FEB-8B8F-ADBCA0F4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72F55"/>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7764"/>
    <w:rPr>
      <w:color w:val="0000FF"/>
      <w:u w:val="single"/>
    </w:rPr>
  </w:style>
  <w:style w:type="character" w:styleId="FollowedHyperlink">
    <w:name w:val="FollowedHyperlink"/>
    <w:uiPriority w:val="99"/>
    <w:semiHidden/>
    <w:unhideWhenUsed/>
    <w:rsid w:val="00B502F1"/>
    <w:rPr>
      <w:color w:val="800080"/>
      <w:u w:val="single"/>
    </w:rPr>
  </w:style>
  <w:style w:type="character" w:customStyle="1" w:styleId="Heading1Char">
    <w:name w:val="Heading 1 Char"/>
    <w:link w:val="Heading1"/>
    <w:uiPriority w:val="9"/>
    <w:rsid w:val="00972F55"/>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060488"/>
    <w:pPr>
      <w:tabs>
        <w:tab w:val="center" w:pos="4513"/>
        <w:tab w:val="right" w:pos="9026"/>
      </w:tabs>
    </w:pPr>
  </w:style>
  <w:style w:type="character" w:customStyle="1" w:styleId="HeaderChar">
    <w:name w:val="Header Char"/>
    <w:link w:val="Header"/>
    <w:uiPriority w:val="99"/>
    <w:rsid w:val="00060488"/>
    <w:rPr>
      <w:sz w:val="22"/>
      <w:szCs w:val="22"/>
      <w:lang w:eastAsia="en-US"/>
    </w:rPr>
  </w:style>
  <w:style w:type="paragraph" w:styleId="Footer">
    <w:name w:val="footer"/>
    <w:basedOn w:val="Normal"/>
    <w:link w:val="FooterChar"/>
    <w:uiPriority w:val="99"/>
    <w:unhideWhenUsed/>
    <w:rsid w:val="00060488"/>
    <w:pPr>
      <w:tabs>
        <w:tab w:val="center" w:pos="4513"/>
        <w:tab w:val="right" w:pos="9026"/>
      </w:tabs>
    </w:pPr>
  </w:style>
  <w:style w:type="character" w:customStyle="1" w:styleId="FooterChar">
    <w:name w:val="Footer Char"/>
    <w:link w:val="Footer"/>
    <w:uiPriority w:val="99"/>
    <w:rsid w:val="00060488"/>
    <w:rPr>
      <w:sz w:val="22"/>
      <w:szCs w:val="22"/>
      <w:lang w:eastAsia="en-US"/>
    </w:rPr>
  </w:style>
  <w:style w:type="paragraph" w:customStyle="1" w:styleId="JNumb">
    <w:name w:val="J_Numb"/>
    <w:basedOn w:val="Normal"/>
    <w:next w:val="Normal"/>
    <w:link w:val="JNumbChar"/>
    <w:qFormat/>
    <w:rsid w:val="001370C9"/>
    <w:pPr>
      <w:tabs>
        <w:tab w:val="left" w:pos="720"/>
      </w:tabs>
      <w:spacing w:after="240" w:line="240" w:lineRule="auto"/>
      <w:jc w:val="both"/>
    </w:pPr>
    <w:rPr>
      <w:rFonts w:ascii="Dutch" w:eastAsia="Times New Roman" w:hAnsi="Dutch"/>
      <w:kern w:val="28"/>
      <w:lang w:eastAsia="en-AU"/>
    </w:rPr>
  </w:style>
  <w:style w:type="character" w:customStyle="1" w:styleId="JNumbChar">
    <w:name w:val="J_Numb Char"/>
    <w:link w:val="JNumb"/>
    <w:locked/>
    <w:rsid w:val="001370C9"/>
    <w:rPr>
      <w:rFonts w:ascii="Dutch" w:eastAsia="Times New Roman" w:hAnsi="Dutch"/>
      <w:kern w:val="28"/>
      <w:sz w:val="22"/>
      <w:szCs w:val="22"/>
    </w:rPr>
  </w:style>
  <w:style w:type="paragraph" w:styleId="FootnoteText">
    <w:name w:val="footnote text"/>
    <w:basedOn w:val="Normal"/>
    <w:link w:val="FootnoteTextChar"/>
    <w:uiPriority w:val="99"/>
    <w:semiHidden/>
    <w:unhideWhenUsed/>
    <w:rsid w:val="001F21EA"/>
    <w:rPr>
      <w:sz w:val="20"/>
      <w:szCs w:val="20"/>
    </w:rPr>
  </w:style>
  <w:style w:type="character" w:customStyle="1" w:styleId="FootnoteTextChar">
    <w:name w:val="Footnote Text Char"/>
    <w:link w:val="FootnoteText"/>
    <w:uiPriority w:val="99"/>
    <w:semiHidden/>
    <w:rsid w:val="001F21EA"/>
    <w:rPr>
      <w:lang w:eastAsia="en-US"/>
    </w:rPr>
  </w:style>
  <w:style w:type="character" w:styleId="FootnoteReference">
    <w:name w:val="footnote reference"/>
    <w:uiPriority w:val="99"/>
    <w:semiHidden/>
    <w:unhideWhenUsed/>
    <w:rsid w:val="001F21EA"/>
    <w:rPr>
      <w:vertAlign w:val="superscript"/>
    </w:rPr>
  </w:style>
  <w:style w:type="paragraph" w:styleId="NormalWeb">
    <w:name w:val="Normal (Web)"/>
    <w:basedOn w:val="Normal"/>
    <w:uiPriority w:val="99"/>
    <w:semiHidden/>
    <w:unhideWhenUsed/>
    <w:rsid w:val="00516F6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770225">
      <w:bodyDiv w:val="1"/>
      <w:marLeft w:val="0"/>
      <w:marRight w:val="0"/>
      <w:marTop w:val="0"/>
      <w:marBottom w:val="0"/>
      <w:divBdr>
        <w:top w:val="none" w:sz="0" w:space="0" w:color="auto"/>
        <w:left w:val="none" w:sz="0" w:space="0" w:color="auto"/>
        <w:bottom w:val="none" w:sz="0" w:space="0" w:color="auto"/>
        <w:right w:val="none" w:sz="0" w:space="0" w:color="auto"/>
      </w:divBdr>
      <w:divsChild>
        <w:div w:id="84005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44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858707">
      <w:bodyDiv w:val="1"/>
      <w:marLeft w:val="0"/>
      <w:marRight w:val="0"/>
      <w:marTop w:val="0"/>
      <w:marBottom w:val="0"/>
      <w:divBdr>
        <w:top w:val="none" w:sz="0" w:space="0" w:color="auto"/>
        <w:left w:val="none" w:sz="0" w:space="0" w:color="auto"/>
        <w:bottom w:val="none" w:sz="0" w:space="0" w:color="auto"/>
        <w:right w:val="none" w:sz="0" w:space="0" w:color="auto"/>
      </w:divBdr>
      <w:divsChild>
        <w:div w:id="128397917">
          <w:marLeft w:val="0"/>
          <w:marRight w:val="0"/>
          <w:marTop w:val="0"/>
          <w:marBottom w:val="0"/>
          <w:divBdr>
            <w:top w:val="none" w:sz="0" w:space="0" w:color="auto"/>
            <w:left w:val="none" w:sz="0" w:space="0" w:color="auto"/>
            <w:bottom w:val="none" w:sz="0" w:space="0" w:color="auto"/>
            <w:right w:val="none" w:sz="0" w:space="0" w:color="auto"/>
          </w:divBdr>
          <w:divsChild>
            <w:div w:id="501553841">
              <w:marLeft w:val="0"/>
              <w:marRight w:val="0"/>
              <w:marTop w:val="0"/>
              <w:marBottom w:val="0"/>
              <w:divBdr>
                <w:top w:val="none" w:sz="0" w:space="0" w:color="auto"/>
                <w:left w:val="single" w:sz="6" w:space="0" w:color="E4E4E4"/>
                <w:bottom w:val="none" w:sz="0" w:space="0" w:color="auto"/>
                <w:right w:val="none" w:sz="0" w:space="0" w:color="auto"/>
              </w:divBdr>
              <w:divsChild>
                <w:div w:id="2085301705">
                  <w:marLeft w:val="0"/>
                  <w:marRight w:val="0"/>
                  <w:marTop w:val="0"/>
                  <w:marBottom w:val="0"/>
                  <w:divBdr>
                    <w:top w:val="none" w:sz="0" w:space="0" w:color="auto"/>
                    <w:left w:val="none" w:sz="0" w:space="0" w:color="auto"/>
                    <w:bottom w:val="none" w:sz="0" w:space="0" w:color="auto"/>
                    <w:right w:val="none" w:sz="0" w:space="0" w:color="auto"/>
                  </w:divBdr>
                  <w:divsChild>
                    <w:div w:id="176888186">
                      <w:marLeft w:val="0"/>
                      <w:marRight w:val="0"/>
                      <w:marTop w:val="0"/>
                      <w:marBottom w:val="0"/>
                      <w:divBdr>
                        <w:top w:val="none" w:sz="0" w:space="0" w:color="auto"/>
                        <w:left w:val="none" w:sz="0" w:space="0" w:color="auto"/>
                        <w:bottom w:val="none" w:sz="0" w:space="0" w:color="auto"/>
                        <w:right w:val="none" w:sz="0" w:space="0" w:color="auto"/>
                      </w:divBdr>
                      <w:divsChild>
                        <w:div w:id="1069425900">
                          <w:marLeft w:val="0"/>
                          <w:marRight w:val="0"/>
                          <w:marTop w:val="0"/>
                          <w:marBottom w:val="105"/>
                          <w:divBdr>
                            <w:top w:val="none" w:sz="0" w:space="0" w:color="auto"/>
                            <w:left w:val="none" w:sz="0" w:space="0" w:color="auto"/>
                            <w:bottom w:val="none" w:sz="0" w:space="0" w:color="auto"/>
                            <w:right w:val="none" w:sz="0" w:space="0" w:color="auto"/>
                          </w:divBdr>
                          <w:divsChild>
                            <w:div w:id="1725450263">
                              <w:marLeft w:val="0"/>
                              <w:marRight w:val="0"/>
                              <w:marTop w:val="105"/>
                              <w:marBottom w:val="0"/>
                              <w:divBdr>
                                <w:top w:val="none" w:sz="0" w:space="0" w:color="auto"/>
                                <w:left w:val="none" w:sz="0" w:space="0" w:color="auto"/>
                                <w:bottom w:val="none" w:sz="0" w:space="0" w:color="auto"/>
                                <w:right w:val="none" w:sz="0" w:space="0" w:color="auto"/>
                              </w:divBdr>
                              <w:divsChild>
                                <w:div w:id="1092699097">
                                  <w:marLeft w:val="0"/>
                                  <w:marRight w:val="0"/>
                                  <w:marTop w:val="0"/>
                                  <w:marBottom w:val="0"/>
                                  <w:divBdr>
                                    <w:top w:val="none" w:sz="0" w:space="0" w:color="auto"/>
                                    <w:left w:val="none" w:sz="0" w:space="0" w:color="auto"/>
                                    <w:bottom w:val="none" w:sz="0" w:space="0" w:color="auto"/>
                                    <w:right w:val="none" w:sz="0" w:space="0" w:color="auto"/>
                                  </w:divBdr>
                                  <w:divsChild>
                                    <w:div w:id="1380547130">
                                      <w:marLeft w:val="0"/>
                                      <w:marRight w:val="0"/>
                                      <w:marTop w:val="0"/>
                                      <w:marBottom w:val="0"/>
                                      <w:divBdr>
                                        <w:top w:val="none" w:sz="0" w:space="0" w:color="auto"/>
                                        <w:left w:val="none" w:sz="0" w:space="0" w:color="auto"/>
                                        <w:bottom w:val="none" w:sz="0" w:space="0" w:color="auto"/>
                                        <w:right w:val="none" w:sz="0" w:space="0" w:color="auto"/>
                                      </w:divBdr>
                                      <w:divsChild>
                                        <w:div w:id="2141989800">
                                          <w:marLeft w:val="0"/>
                                          <w:marRight w:val="0"/>
                                          <w:marTop w:val="0"/>
                                          <w:marBottom w:val="0"/>
                                          <w:divBdr>
                                            <w:top w:val="none" w:sz="0" w:space="0" w:color="auto"/>
                                            <w:left w:val="none" w:sz="0" w:space="0" w:color="auto"/>
                                            <w:bottom w:val="none" w:sz="0" w:space="0" w:color="auto"/>
                                            <w:right w:val="none" w:sz="0" w:space="0" w:color="auto"/>
                                          </w:divBdr>
                                          <w:divsChild>
                                            <w:div w:id="1884782234">
                                              <w:marLeft w:val="105"/>
                                              <w:marRight w:val="0"/>
                                              <w:marTop w:val="0"/>
                                              <w:marBottom w:val="0"/>
                                              <w:divBdr>
                                                <w:top w:val="none" w:sz="0" w:space="0" w:color="auto"/>
                                                <w:left w:val="none" w:sz="0" w:space="0" w:color="auto"/>
                                                <w:bottom w:val="none" w:sz="0" w:space="0" w:color="auto"/>
                                                <w:right w:val="none" w:sz="0" w:space="0" w:color="auto"/>
                                              </w:divBdr>
                                              <w:divsChild>
                                                <w:div w:id="208685276">
                                                  <w:marLeft w:val="450"/>
                                                  <w:marRight w:val="0"/>
                                                  <w:marTop w:val="0"/>
                                                  <w:marBottom w:val="0"/>
                                                  <w:divBdr>
                                                    <w:top w:val="none" w:sz="0" w:space="0" w:color="auto"/>
                                                    <w:left w:val="none" w:sz="0" w:space="0" w:color="auto"/>
                                                    <w:bottom w:val="none" w:sz="0" w:space="0" w:color="auto"/>
                                                    <w:right w:val="none" w:sz="0" w:space="0" w:color="auto"/>
                                                  </w:divBdr>
                                                </w:div>
                                                <w:div w:id="1158111812">
                                                  <w:marLeft w:val="450"/>
                                                  <w:marRight w:val="0"/>
                                                  <w:marTop w:val="0"/>
                                                  <w:marBottom w:val="0"/>
                                                  <w:divBdr>
                                                    <w:top w:val="none" w:sz="0" w:space="0" w:color="auto"/>
                                                    <w:left w:val="none" w:sz="0" w:space="0" w:color="auto"/>
                                                    <w:bottom w:val="none" w:sz="0" w:space="0" w:color="auto"/>
                                                    <w:right w:val="none" w:sz="0" w:space="0" w:color="auto"/>
                                                  </w:divBdr>
                                                </w:div>
                                                <w:div w:id="20933566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511583">
      <w:bodyDiv w:val="1"/>
      <w:marLeft w:val="0"/>
      <w:marRight w:val="0"/>
      <w:marTop w:val="0"/>
      <w:marBottom w:val="0"/>
      <w:divBdr>
        <w:top w:val="none" w:sz="0" w:space="0" w:color="auto"/>
        <w:left w:val="none" w:sz="0" w:space="0" w:color="auto"/>
        <w:bottom w:val="none" w:sz="0" w:space="0" w:color="auto"/>
        <w:right w:val="none" w:sz="0" w:space="0" w:color="auto"/>
      </w:divBdr>
    </w:div>
    <w:div w:id="1044256416">
      <w:bodyDiv w:val="1"/>
      <w:marLeft w:val="0"/>
      <w:marRight w:val="0"/>
      <w:marTop w:val="0"/>
      <w:marBottom w:val="0"/>
      <w:divBdr>
        <w:top w:val="none" w:sz="0" w:space="0" w:color="auto"/>
        <w:left w:val="none" w:sz="0" w:space="0" w:color="auto"/>
        <w:bottom w:val="none" w:sz="0" w:space="0" w:color="auto"/>
        <w:right w:val="none" w:sz="0" w:space="0" w:color="auto"/>
      </w:divBdr>
    </w:div>
    <w:div w:id="1436091859">
      <w:bodyDiv w:val="1"/>
      <w:marLeft w:val="0"/>
      <w:marRight w:val="0"/>
      <w:marTop w:val="0"/>
      <w:marBottom w:val="0"/>
      <w:divBdr>
        <w:top w:val="none" w:sz="0" w:space="0" w:color="auto"/>
        <w:left w:val="none" w:sz="0" w:space="0" w:color="auto"/>
        <w:bottom w:val="none" w:sz="0" w:space="0" w:color="auto"/>
        <w:right w:val="none" w:sz="0" w:space="0" w:color="auto"/>
      </w:divBdr>
    </w:div>
    <w:div w:id="1436752760">
      <w:bodyDiv w:val="1"/>
      <w:marLeft w:val="0"/>
      <w:marRight w:val="0"/>
      <w:marTop w:val="0"/>
      <w:marBottom w:val="0"/>
      <w:divBdr>
        <w:top w:val="none" w:sz="0" w:space="0" w:color="auto"/>
        <w:left w:val="none" w:sz="0" w:space="0" w:color="auto"/>
        <w:bottom w:val="none" w:sz="0" w:space="0" w:color="auto"/>
        <w:right w:val="none" w:sz="0" w:space="0" w:color="auto"/>
      </w:divBdr>
    </w:div>
    <w:div w:id="1663000586">
      <w:bodyDiv w:val="1"/>
      <w:marLeft w:val="0"/>
      <w:marRight w:val="0"/>
      <w:marTop w:val="0"/>
      <w:marBottom w:val="0"/>
      <w:divBdr>
        <w:top w:val="none" w:sz="0" w:space="0" w:color="auto"/>
        <w:left w:val="none" w:sz="0" w:space="0" w:color="auto"/>
        <w:bottom w:val="none" w:sz="0" w:space="0" w:color="auto"/>
        <w:right w:val="none" w:sz="0" w:space="0" w:color="auto"/>
      </w:divBdr>
      <w:divsChild>
        <w:div w:id="52774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299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0BC5-A4B8-423C-86AD-CD7CAC0F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3652</Words>
  <Characters>20823</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Robert (Magistrate)</dc:creator>
  <cp:keywords/>
  <cp:lastModifiedBy>Vizer, Helen</cp:lastModifiedBy>
  <cp:revision>2</cp:revision>
  <cp:lastPrinted>2014-08-27T02:50:00Z</cp:lastPrinted>
  <dcterms:created xsi:type="dcterms:W3CDTF">2019-03-13T21:51:00Z</dcterms:created>
  <dcterms:modified xsi:type="dcterms:W3CDTF">2019-03-13T21:51:00Z</dcterms:modified>
</cp:coreProperties>
</file>